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8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tc>
      </w:tr>
    </w:tbl>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80" w:after="8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80" w:after="8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8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tbl>
      <w:tblPr>
        <w:tblW w:w="3015" w:type="dxa"/>
        <w:jc w:val="center"/>
        <w:tblInd w:w="0" w:type="dxa"/>
        <w:tblLayout w:type="fixed"/>
        <w:tblCellMar>
          <w:top w:w="28" w:type="dxa"/>
          <w:left w:w="28" w:type="dxa"/>
          <w:bottom w:w="28" w:type="dxa"/>
          <w:right w:w="28" w:type="dxa"/>
        </w:tblCellMar>
      </w:tblPr>
      <w:tblGrid>
        <w:gridCol w:w="964"/>
        <w:gridCol w:w="849"/>
        <w:gridCol w:w="120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Commission File Number: 001-43221</w:t>
            </w:r>
          </w:p>
        </w:tc>
      </w:tr>
      <w:tr>
        <w:trPr/>
        <w:tc>
          <w:tcPr>
            <w:tcW w:w="30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rPr>
      </w:pPr>
      <w:r>
        <w:rPr>
          <w:rFonts w:ascii="Times New Roman;serif" w:hAnsi="Times New Roman;serif"/>
          <w:b/>
          <w:color w:val="000000"/>
          <w:sz w:val="28"/>
        </w:rPr>
        <w:t>HMH Holding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938" w:type="dxa"/>
        <w:jc w:val="center"/>
        <w:tblInd w:w="0" w:type="dxa"/>
        <w:tblLayout w:type="fixed"/>
        <w:tblCellMar>
          <w:top w:w="28" w:type="dxa"/>
          <w:left w:w="28" w:type="dxa"/>
          <w:bottom w:w="28" w:type="dxa"/>
          <w:right w:w="28" w:type="dxa"/>
        </w:tblCellMar>
      </w:tblPr>
      <w:tblGrid>
        <w:gridCol w:w="1488"/>
        <w:gridCol w:w="1312"/>
        <w:gridCol w:w="1322"/>
        <w:gridCol w:w="529"/>
        <w:gridCol w:w="529"/>
        <w:gridCol w:w="758"/>
      </w:tblGrid>
      <w:tr>
        <w:trPr/>
        <w:tc>
          <w:tcPr>
            <w:tcW w:w="148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816"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18"/>
              </w:rPr>
            </w:pPr>
            <w:r>
              <w:rPr>
                <w:rFonts w:ascii="Times New Roman;serif" w:hAnsi="Times New Roman;serif"/>
                <w:b/>
                <w:color w:val="000000"/>
                <w:sz w:val="18"/>
              </w:rPr>
              <w:t>99-2746883</w:t>
            </w:r>
          </w:p>
        </w:tc>
      </w:tr>
      <w:tr>
        <w:trPr/>
        <w:tc>
          <w:tcPr>
            <w:tcW w:w="4122"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r>
          </w:p>
          <w:p>
            <w:pPr>
              <w:pStyle w:val="TableContents"/>
              <w:bidi w:val="0"/>
              <w:spacing w:lineRule="auto" w:line="333" w:before="0" w:after="3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w:t>
            </w:r>
          </w:p>
          <w:p>
            <w:pPr>
              <w:pStyle w:val="TableContents"/>
              <w:bidi w:val="0"/>
              <w:spacing w:lineRule="auto" w:line="333" w:before="0" w:after="3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3300 North Sam Houston Parkway East,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Houston, Texas</w:t>
            </w:r>
          </w:p>
        </w:tc>
        <w:tc>
          <w:tcPr>
            <w:tcW w:w="1816"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18"/>
              </w:rPr>
            </w:pPr>
            <w:r>
              <w:rPr>
                <w:rFonts w:ascii="Times New Roman;serif" w:hAnsi="Times New Roman;serif"/>
                <w:b/>
                <w:color w:val="000000"/>
                <w:sz w:val="18"/>
              </w:rPr>
              <w:t>77032</w:t>
            </w:r>
          </w:p>
        </w:tc>
      </w:tr>
      <w:tr>
        <w:trPr/>
        <w:tc>
          <w:tcPr>
            <w:tcW w:w="4122"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81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200"/>
              <w:jc w:val="center"/>
              <w:rPr>
                <w:color w:val="000000"/>
              </w:rPr>
            </w:pPr>
            <w:r>
              <w:rPr>
                <w:color w:val="000000"/>
              </w:rPr>
              <w:t> </w:t>
            </w:r>
            <w:r>
              <w:rPr>
                <w:rFonts w:ascii="Times New Roman;serif" w:hAnsi="Times New Roman;serif"/>
                <w:b/>
                <w:color w:val="000000"/>
                <w:sz w:val="18"/>
              </w:rPr>
              <w:t>(281) 449-2000</w:t>
            </w:r>
          </w:p>
        </w:tc>
      </w:tr>
      <w:tr>
        <w:trPr/>
        <w:tc>
          <w:tcPr>
            <w:tcW w:w="4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59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Not Applicable</w:t>
            </w:r>
          </w:p>
        </w:tc>
      </w:tr>
      <w:tr>
        <w:trPr/>
        <w:tc>
          <w:tcPr>
            <w:tcW w:w="5938" w:type="dxa"/>
            <w:gridSpan w:val="6"/>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from last report)</w:t>
            </w:r>
          </w:p>
        </w:tc>
      </w:tr>
    </w:tbl>
    <w:tbl>
      <w:tblPr>
        <w:tblW w:w="8385" w:type="dxa"/>
        <w:jc w:val="center"/>
        <w:tblInd w:w="0" w:type="dxa"/>
        <w:tblLayout w:type="fixed"/>
        <w:tblCellMar>
          <w:top w:w="28" w:type="dxa"/>
          <w:left w:w="28" w:type="dxa"/>
          <w:bottom w:w="28" w:type="dxa"/>
          <w:right w:w="28" w:type="dxa"/>
        </w:tblCellMar>
      </w:tblPr>
      <w:tblGrid>
        <w:gridCol w:w="1319"/>
        <w:gridCol w:w="1163"/>
        <w:gridCol w:w="1163"/>
        <w:gridCol w:w="485"/>
        <w:gridCol w:w="485"/>
        <w:gridCol w:w="485"/>
        <w:gridCol w:w="963"/>
        <w:gridCol w:w="963"/>
        <w:gridCol w:w="1359"/>
      </w:tblGrid>
      <w:tr>
        <w:trPr/>
        <w:tc>
          <w:tcPr>
            <w:tcW w:w="131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8385" w:type="dxa"/>
            <w:gridSpan w:val="9"/>
            <w:tcBorders/>
            <w:tcMar>
              <w:top w:w="0" w:type="dxa"/>
              <w:left w:w="0" w:type="dxa"/>
              <w:bottom w:w="0" w:type="dxa"/>
              <w:right w:w="0" w:type="dxa"/>
            </w:tcMar>
            <w:vAlign w:val="center"/>
          </w:tcPr>
          <w:p>
            <w:pPr>
              <w:pStyle w:val="TableContents"/>
              <w:bidi w:val="0"/>
              <w:spacing w:lineRule="auto" w:line="288" w:before="120" w:after="1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645" w:type="dxa"/>
            <w:gridSpan w:val="3"/>
            <w:tcBorders/>
            <w:tcMar>
              <w:top w:w="0" w:type="dxa"/>
              <w:left w:w="0" w:type="dxa"/>
              <w:bottom w:w="0" w:type="dxa"/>
              <w:right w:w="0" w:type="dxa"/>
            </w:tcMar>
            <w:vAlign w:val="center"/>
          </w:tcPr>
          <w:p>
            <w:pPr>
              <w:pStyle w:val="TableContents"/>
              <w:bidi w:val="0"/>
              <w:spacing w:lineRule="auto" w:line="333" w:before="23" w:after="20"/>
              <w:jc w:val="center"/>
              <w:rPr>
                <w:rFonts w:ascii="Times New Roman;serif" w:hAnsi="Times New Roman;serif"/>
                <w:b w:val="false"/>
                <w:i/>
                <w:color w:val="000000"/>
                <w:sz w:val="18"/>
              </w:rPr>
            </w:pPr>
            <w:r>
              <w:rPr>
                <w:rFonts w:ascii="Times New Roman;serif" w:hAnsi="Times New Roman;serif"/>
                <w:b w:val="false"/>
                <w:i/>
                <w:color w:val="000000"/>
                <w:sz w:val="18"/>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333" w:before="23" w:after="20"/>
              <w:jc w:val="center"/>
              <w:rPr>
                <w:rFonts w:ascii="Times New Roman;serif" w:hAnsi="Times New Roman;serif"/>
                <w:b w:val="false"/>
                <w:i/>
                <w:color w:val="000000"/>
                <w:sz w:val="18"/>
              </w:rPr>
            </w:pPr>
            <w:r>
              <w:rPr>
                <w:rFonts w:ascii="Times New Roman;serif" w:hAnsi="Times New Roman;serif"/>
                <w:b w:val="false"/>
                <w:i/>
                <w:color w:val="000000"/>
                <w:sz w:val="18"/>
              </w:rPr>
              <w:t>Trading Symbol(s)</w:t>
            </w:r>
          </w:p>
        </w:tc>
        <w:tc>
          <w:tcPr>
            <w:tcW w:w="3285" w:type="dxa"/>
            <w:gridSpan w:val="3"/>
            <w:tcBorders/>
            <w:tcMar>
              <w:top w:w="0" w:type="dxa"/>
              <w:left w:w="0" w:type="dxa"/>
              <w:bottom w:w="0" w:type="dxa"/>
              <w:right w:w="0" w:type="dxa"/>
            </w:tcMar>
            <w:vAlign w:val="center"/>
          </w:tcPr>
          <w:p>
            <w:pPr>
              <w:pStyle w:val="TableContents"/>
              <w:bidi w:val="0"/>
              <w:spacing w:lineRule="auto" w:line="333" w:before="23" w:after="20"/>
              <w:jc w:val="center"/>
              <w:rPr>
                <w:rFonts w:ascii="Times New Roman;serif" w:hAnsi="Times New Roman;serif"/>
                <w:b w:val="false"/>
                <w:i/>
                <w:color w:val="000000"/>
                <w:sz w:val="18"/>
              </w:rPr>
            </w:pPr>
            <w:r>
              <w:rPr>
                <w:rFonts w:ascii="Times New Roman;serif" w:hAnsi="Times New Roman;serif"/>
                <w:b w:val="false"/>
                <w:i/>
                <w:color w:val="000000"/>
                <w:sz w:val="18"/>
              </w:rPr>
              <w:t>Name of each exchange on which registered</w:t>
            </w:r>
          </w:p>
        </w:tc>
      </w:tr>
      <w:tr>
        <w:trPr/>
        <w:tc>
          <w:tcPr>
            <w:tcW w:w="3645"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w:t>
            </w:r>
          </w:p>
        </w:tc>
        <w:tc>
          <w:tcPr>
            <w:tcW w:w="1455"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HMH</w:t>
            </w:r>
          </w:p>
        </w:tc>
        <w:tc>
          <w:tcPr>
            <w:tcW w:w="3285"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 </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33" w:before="43" w:after="1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160" w:after="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33" w:before="43" w:after="120"/>
              <w:jc w:val="left"/>
              <w:rPr>
                <w:color w:val="000000"/>
              </w:rPr>
            </w:pPr>
            <w:r>
              <w:rPr>
                <w:color w:val="000000"/>
              </w:rPr>
              <w:t>☒</w:t>
            </w:r>
          </w:p>
        </w:tc>
      </w:tr>
    </w:tbl>
    <w:p>
      <w:pPr>
        <w:pStyle w:val="TextBody"/>
        <w:bidi w:val="0"/>
        <w:spacing w:lineRule="auto" w:line="288" w:before="80" w:after="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is a shell company (as defined in Rule 12b-2 of the Exchange Act). Yes ☐ No </w:t>
      </w:r>
      <w:r>
        <w:rPr>
          <w:color w:val="000000"/>
        </w:rPr>
        <w:t>☒</w:t>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As of July 31, 2026, the registrant had 12,042,625 shares of Class A common stock, par value $0.01 per share, and 31,891,652 shares of Class B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HMH Holding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160"/>
        <w:jc w:val="center"/>
        <w:rPr/>
      </w:pPr>
      <w:r>
        <w:rPr/>
      </w:r>
    </w:p>
    <w:tbl>
      <w:tblPr>
        <w:tblW w:w="10205" w:type="dxa"/>
        <w:jc w:val="left"/>
        <w:tblInd w:w="0" w:type="dxa"/>
        <w:tblLayout w:type="fixed"/>
        <w:tblCellMar>
          <w:top w:w="28" w:type="dxa"/>
          <w:left w:w="28" w:type="dxa"/>
          <w:bottom w:w="28" w:type="dxa"/>
          <w:right w:w="28" w:type="dxa"/>
        </w:tblCellMar>
      </w:tblPr>
      <w:tblGrid>
        <w:gridCol w:w="267"/>
        <w:gridCol w:w="232"/>
        <w:gridCol w:w="235"/>
        <w:gridCol w:w="2889"/>
        <w:gridCol w:w="2889"/>
        <w:gridCol w:w="2895"/>
        <w:gridCol w:w="233"/>
        <w:gridCol w:w="233"/>
        <w:gridCol w:w="332"/>
      </w:tblGrid>
      <w:tr>
        <w:trPr/>
        <w:tc>
          <w:tcPr>
            <w:tcW w:w="2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Page </w:t>
              <w:br/>
              <w:t>Number</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687e02e46f54978a2dead18c4a97412_10">
              <w:r>
                <w:rPr>
                  <w:rStyle w:val="InternetLink"/>
                  <w:rFonts w:ascii="Times New Roman;serif" w:hAnsi="Times New Roman;serif"/>
                  <w:b w:val="false"/>
                  <w:strike w:val="false"/>
                  <w:dstrike w:val="false"/>
                  <w:color w:val="0000FF"/>
                  <w:sz w:val="20"/>
                  <w:u w:val="none"/>
                  <w:effect w:val="none"/>
                </w:rPr>
                <w:t>Cautionary Statement Regarding Forward-Looking Statements</w:t>
              </w:r>
            </w:hyperlink>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160"/>
              <w:jc w:val="center"/>
              <w:rPr/>
            </w:pPr>
            <w:hyperlink w:anchor="i9687e02e46f54978a2dead18c4a97412_10">
              <w:r>
                <w:rPr>
                  <w:rStyle w:val="InternetLink"/>
                  <w:rFonts w:ascii="Times New Roman;serif" w:hAnsi="Times New Roman;serif"/>
                  <w:b w:val="false"/>
                  <w:strike w:val="false"/>
                  <w:dstrike w:val="false"/>
                  <w:color w:val="000000"/>
                  <w:sz w:val="18"/>
                  <w:u w:val="none"/>
                  <w:effect w:val="none"/>
                </w:rPr>
                <w:t>2</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u w:val="single"/>
              </w:rPr>
            </w:pPr>
            <w:r>
              <w:rPr>
                <w:rFonts w:ascii="Times New Roman;serif" w:hAnsi="Times New Roman;serif"/>
                <w:b/>
                <w:color w:val="000000"/>
                <w:sz w:val="18"/>
                <w:u w:val="single"/>
              </w:rPr>
              <w:t>PART I — FINANCIAL INFORMATION</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Financial Statements (Unaudited)</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687e02e46f54978a2dead18c4a97412_19">
              <w:r>
                <w:rPr>
                  <w:rStyle w:val="InternetLink"/>
                  <w:rFonts w:ascii="Times New Roman;serif" w:hAnsi="Times New Roman;serif"/>
                  <w:b w:val="false"/>
                  <w:color w:val="000080"/>
                  <w:sz w:val="18"/>
                  <w:u w:val="single"/>
                </w:rPr>
                <w:t xml:space="preserve">Condensed Consolidated Statements of Income for the Three </w:t>
              </w:r>
            </w:hyperlink>
            <w:hyperlink w:anchor="i9687e02e46f54978a2dead18c4a97412_19">
              <w:r>
                <w:rPr>
                  <w:rStyle w:val="InternetLink"/>
                  <w:rFonts w:ascii="Times New Roman;serif" w:hAnsi="Times New Roman;serif"/>
                  <w:b w:val="false"/>
                  <w:color w:val="000080"/>
                  <w:sz w:val="18"/>
                  <w:u w:val="single"/>
                </w:rPr>
                <w:t xml:space="preserve">and Six </w:t>
              </w:r>
            </w:hyperlink>
            <w:hyperlink w:anchor="i9687e02e46f54978a2dead18c4a97412_19">
              <w:r>
                <w:rPr>
                  <w:rStyle w:val="InternetLink"/>
                  <w:rFonts w:ascii="Times New Roman;serif" w:hAnsi="Times New Roman;serif"/>
                  <w:b w:val="false"/>
                  <w:color w:val="000080"/>
                  <w:sz w:val="18"/>
                  <w:u w:val="single"/>
                </w:rPr>
                <w:t xml:space="preserve">Months Ended </w:t>
              </w:r>
            </w:hyperlink>
            <w:hyperlink w:anchor="i9687e02e46f54978a2dead18c4a97412_19">
              <w:r>
                <w:rPr>
                  <w:rStyle w:val="InternetLink"/>
                  <w:rFonts w:ascii="Times New Roman;serif" w:hAnsi="Times New Roman;serif"/>
                  <w:b w:val="false"/>
                  <w:color w:val="000080"/>
                  <w:sz w:val="18"/>
                  <w:u w:val="single"/>
                </w:rPr>
                <w:t>June</w:t>
              </w:r>
            </w:hyperlink>
            <w:hyperlink w:anchor="i9687e02e46f54978a2dead18c4a97412_19">
              <w:r>
                <w:rPr>
                  <w:rStyle w:val="InternetLink"/>
                  <w:rFonts w:ascii="Times New Roman;serif" w:hAnsi="Times New Roman;serif"/>
                  <w:b w:val="false"/>
                  <w:color w:val="000080"/>
                  <w:sz w:val="18"/>
                  <w:u w:val="single"/>
                </w:rPr>
                <w:t xml:space="preserve"> 3</w:t>
              </w:r>
            </w:hyperlink>
            <w:hyperlink w:anchor="i9687e02e46f54978a2dead18c4a97412_19">
              <w:r>
                <w:rPr>
                  <w:rStyle w:val="InternetLink"/>
                  <w:rFonts w:ascii="Times New Roman;serif" w:hAnsi="Times New Roman;serif"/>
                  <w:b w:val="false"/>
                  <w:color w:val="000080"/>
                  <w:sz w:val="18"/>
                  <w:u w:val="single"/>
                </w:rPr>
                <w:t>0</w:t>
              </w:r>
            </w:hyperlink>
            <w:hyperlink w:anchor="i9687e02e46f54978a2dead18c4a97412_19">
              <w:r>
                <w:rPr>
                  <w:rStyle w:val="InternetLink"/>
                  <w:rFonts w:ascii="Times New Roman;serif" w:hAnsi="Times New Roman;serif"/>
                  <w:b w:val="false"/>
                  <w:color w:val="000080"/>
                  <w:sz w:val="18"/>
                  <w:u w:val="single"/>
                </w:rPr>
                <w:t xml:space="preserve">, 2026 and 2025 </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9">
              <w:r>
                <w:rPr>
                  <w:rStyle w:val="InternetLink"/>
                  <w:rFonts w:ascii="Times New Roman;serif" w:hAnsi="Times New Roman;serif"/>
                  <w:b w:val="false"/>
                  <w:strike w:val="false"/>
                  <w:dstrike w:val="false"/>
                  <w:color w:val="000000"/>
                  <w:sz w:val="18"/>
                  <w:u w:val="none"/>
                  <w:effect w:val="none"/>
                </w:rPr>
                <w:t>4</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687e02e46f54978a2dead18c4a97412_22">
              <w:r>
                <w:rPr>
                  <w:rStyle w:val="InternetLink"/>
                  <w:rFonts w:ascii="Times New Roman;serif" w:hAnsi="Times New Roman;serif"/>
                  <w:b w:val="false"/>
                  <w:color w:val="000080"/>
                  <w:sz w:val="18"/>
                  <w:u w:val="single"/>
                </w:rPr>
                <w:t xml:space="preserve">Condensed Consolidated Statements of Comprehensive Income for the Three </w:t>
              </w:r>
            </w:hyperlink>
            <w:hyperlink w:anchor="i9687e02e46f54978a2dead18c4a97412_22">
              <w:r>
                <w:rPr>
                  <w:rStyle w:val="InternetLink"/>
                  <w:rFonts w:ascii="Times New Roman;serif" w:hAnsi="Times New Roman;serif"/>
                  <w:b w:val="false"/>
                  <w:color w:val="000080"/>
                  <w:sz w:val="18"/>
                  <w:u w:val="single"/>
                </w:rPr>
                <w:t xml:space="preserve">and </w:t>
              </w:r>
            </w:hyperlink>
            <w:hyperlink w:anchor="i9687e02e46f54978a2dead18c4a97412_22">
              <w:r>
                <w:rPr>
                  <w:rStyle w:val="InternetLink"/>
                  <w:rFonts w:ascii="Times New Roman;serif" w:hAnsi="Times New Roman;serif"/>
                  <w:b w:val="false"/>
                  <w:color w:val="000080"/>
                  <w:sz w:val="18"/>
                  <w:u w:val="single"/>
                </w:rPr>
                <w:t xml:space="preserve">Six </w:t>
              </w:r>
            </w:hyperlink>
            <w:hyperlink w:anchor="i9687e02e46f54978a2dead18c4a97412_22">
              <w:r>
                <w:rPr>
                  <w:rStyle w:val="InternetLink"/>
                  <w:rFonts w:ascii="Times New Roman;serif" w:hAnsi="Times New Roman;serif"/>
                  <w:b w:val="false"/>
                  <w:color w:val="000080"/>
                  <w:sz w:val="18"/>
                  <w:u w:val="single"/>
                </w:rPr>
                <w:t xml:space="preserve">Months Ended </w:t>
              </w:r>
            </w:hyperlink>
            <w:hyperlink w:anchor="i9687e02e46f54978a2dead18c4a97412_22">
              <w:r>
                <w:rPr>
                  <w:rStyle w:val="InternetLink"/>
                  <w:rFonts w:ascii="Times New Roman;serif" w:hAnsi="Times New Roman;serif"/>
                  <w:b w:val="false"/>
                  <w:color w:val="000080"/>
                  <w:sz w:val="18"/>
                  <w:u w:val="single"/>
                </w:rPr>
                <w:t>June</w:t>
              </w:r>
            </w:hyperlink>
            <w:hyperlink w:anchor="i9687e02e46f54978a2dead18c4a97412_22">
              <w:r>
                <w:rPr>
                  <w:rStyle w:val="InternetLink"/>
                  <w:rFonts w:ascii="Times New Roman;serif" w:hAnsi="Times New Roman;serif"/>
                  <w:b w:val="false"/>
                  <w:color w:val="000080"/>
                  <w:sz w:val="18"/>
                  <w:u w:val="single"/>
                </w:rPr>
                <w:t xml:space="preserve"> 3</w:t>
              </w:r>
            </w:hyperlink>
            <w:hyperlink w:anchor="i9687e02e46f54978a2dead18c4a97412_22">
              <w:r>
                <w:rPr>
                  <w:rStyle w:val="InternetLink"/>
                  <w:rFonts w:ascii="Times New Roman;serif" w:hAnsi="Times New Roman;serif"/>
                  <w:b w:val="false"/>
                  <w:color w:val="000080"/>
                  <w:sz w:val="18"/>
                  <w:u w:val="single"/>
                </w:rPr>
                <w:t>0</w:t>
              </w:r>
            </w:hyperlink>
            <w:hyperlink w:anchor="i9687e02e46f54978a2dead18c4a97412_22">
              <w:r>
                <w:rPr>
                  <w:rStyle w:val="InternetLink"/>
                  <w:rFonts w:ascii="Times New Roman;serif" w:hAnsi="Times New Roman;serif"/>
                  <w:b w:val="false"/>
                  <w:color w:val="000080"/>
                  <w:sz w:val="18"/>
                  <w:u w:val="single"/>
                </w:rPr>
                <w:t>, 2026 and 2025</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22">
              <w:r>
                <w:rPr>
                  <w:rStyle w:val="InternetLink"/>
                  <w:rFonts w:ascii="Times New Roman;serif" w:hAnsi="Times New Roman;serif"/>
                  <w:b w:val="false"/>
                  <w:strike w:val="false"/>
                  <w:dstrike w:val="false"/>
                  <w:color w:val="000000"/>
                  <w:sz w:val="18"/>
                  <w:u w:val="none"/>
                  <w:effect w:val="none"/>
                </w:rPr>
                <w:t>5</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687e02e46f54978a2dead18c4a97412_25">
              <w:r>
                <w:rPr>
                  <w:rStyle w:val="InternetLink"/>
                  <w:rFonts w:ascii="Times New Roman;serif" w:hAnsi="Times New Roman;serif"/>
                  <w:b w:val="false"/>
                  <w:color w:val="000080"/>
                  <w:sz w:val="18"/>
                  <w:u w:val="single"/>
                </w:rPr>
                <w:t xml:space="preserve">Condensed Consolidated Balance Sheets as of </w:t>
              </w:r>
            </w:hyperlink>
            <w:hyperlink w:anchor="i9687e02e46f54978a2dead18c4a97412_25">
              <w:r>
                <w:rPr>
                  <w:rStyle w:val="InternetLink"/>
                  <w:rFonts w:ascii="Times New Roman;serif" w:hAnsi="Times New Roman;serif"/>
                  <w:b w:val="false"/>
                  <w:color w:val="000080"/>
                  <w:sz w:val="18"/>
                  <w:u w:val="single"/>
                </w:rPr>
                <w:t>June</w:t>
              </w:r>
            </w:hyperlink>
            <w:hyperlink w:anchor="i9687e02e46f54978a2dead18c4a97412_25">
              <w:r>
                <w:rPr>
                  <w:rStyle w:val="InternetLink"/>
                  <w:rFonts w:ascii="Times New Roman;serif" w:hAnsi="Times New Roman;serif"/>
                  <w:b w:val="false"/>
                  <w:color w:val="000080"/>
                  <w:sz w:val="18"/>
                  <w:u w:val="single"/>
                </w:rPr>
                <w:t xml:space="preserve"> 3</w:t>
              </w:r>
            </w:hyperlink>
            <w:hyperlink w:anchor="i9687e02e46f54978a2dead18c4a97412_25">
              <w:r>
                <w:rPr>
                  <w:rStyle w:val="InternetLink"/>
                  <w:rFonts w:ascii="Times New Roman;serif" w:hAnsi="Times New Roman;serif"/>
                  <w:b w:val="false"/>
                  <w:color w:val="000080"/>
                  <w:sz w:val="18"/>
                  <w:u w:val="single"/>
                </w:rPr>
                <w:t>0</w:t>
              </w:r>
            </w:hyperlink>
            <w:hyperlink w:anchor="i9687e02e46f54978a2dead18c4a97412_25">
              <w:r>
                <w:rPr>
                  <w:rStyle w:val="InternetLink"/>
                  <w:rFonts w:ascii="Times New Roman;serif" w:hAnsi="Times New Roman;serif"/>
                  <w:b w:val="false"/>
                  <w:color w:val="000080"/>
                  <w:sz w:val="18"/>
                  <w:u w:val="single"/>
                </w:rPr>
                <w:t>, 2026 and December 31, 2025</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25">
              <w:r>
                <w:rPr>
                  <w:rStyle w:val="InternetLink"/>
                  <w:rFonts w:ascii="Times New Roman;serif" w:hAnsi="Times New Roman;serif"/>
                  <w:b w:val="false"/>
                  <w:strike w:val="false"/>
                  <w:dstrike w:val="false"/>
                  <w:color w:val="000000"/>
                  <w:sz w:val="18"/>
                  <w:u w:val="none"/>
                  <w:effect w:val="none"/>
                </w:rPr>
                <w:t>6</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687e02e46f54978a2dead18c4a97412_28">
              <w:r>
                <w:rPr>
                  <w:rStyle w:val="InternetLink"/>
                  <w:rFonts w:ascii="Times New Roman;serif" w:hAnsi="Times New Roman;serif"/>
                  <w:b w:val="false"/>
                  <w:color w:val="000080"/>
                  <w:sz w:val="18"/>
                  <w:u w:val="single"/>
                </w:rPr>
                <w:t xml:space="preserve">Condensed Consolidated Statements of Cash Flows for the </w:t>
              </w:r>
            </w:hyperlink>
            <w:hyperlink w:anchor="i9687e02e46f54978a2dead18c4a97412_28">
              <w:r>
                <w:rPr>
                  <w:rStyle w:val="InternetLink"/>
                  <w:rFonts w:ascii="Times New Roman;serif" w:hAnsi="Times New Roman;serif"/>
                  <w:b w:val="false"/>
                  <w:color w:val="000080"/>
                  <w:sz w:val="18"/>
                  <w:u w:val="single"/>
                </w:rPr>
                <w:t>Six</w:t>
              </w:r>
            </w:hyperlink>
            <w:hyperlink w:anchor="i9687e02e46f54978a2dead18c4a97412_28">
              <w:r>
                <w:rPr>
                  <w:rStyle w:val="InternetLink"/>
                  <w:rFonts w:ascii="Times New Roman;serif" w:hAnsi="Times New Roman;serif"/>
                  <w:b w:val="false"/>
                  <w:color w:val="000080"/>
                  <w:sz w:val="18"/>
                  <w:u w:val="single"/>
                </w:rPr>
                <w:t xml:space="preserve"> Months Ended </w:t>
              </w:r>
            </w:hyperlink>
            <w:hyperlink w:anchor="i9687e02e46f54978a2dead18c4a97412_28">
              <w:r>
                <w:rPr>
                  <w:rStyle w:val="InternetLink"/>
                  <w:rFonts w:ascii="Times New Roman;serif" w:hAnsi="Times New Roman;serif"/>
                  <w:b w:val="false"/>
                  <w:color w:val="000080"/>
                  <w:sz w:val="18"/>
                  <w:u w:val="single"/>
                </w:rPr>
                <w:t>June</w:t>
              </w:r>
            </w:hyperlink>
            <w:hyperlink w:anchor="i9687e02e46f54978a2dead18c4a97412_28">
              <w:r>
                <w:rPr>
                  <w:rStyle w:val="InternetLink"/>
                  <w:rFonts w:ascii="Times New Roman;serif" w:hAnsi="Times New Roman;serif"/>
                  <w:b w:val="false"/>
                  <w:color w:val="000080"/>
                  <w:sz w:val="18"/>
                  <w:u w:val="single"/>
                </w:rPr>
                <w:t xml:space="preserve"> 3</w:t>
              </w:r>
            </w:hyperlink>
            <w:hyperlink w:anchor="i9687e02e46f54978a2dead18c4a97412_28">
              <w:r>
                <w:rPr>
                  <w:rStyle w:val="InternetLink"/>
                  <w:rFonts w:ascii="Times New Roman;serif" w:hAnsi="Times New Roman;serif"/>
                  <w:b w:val="false"/>
                  <w:color w:val="000080"/>
                  <w:sz w:val="18"/>
                  <w:u w:val="single"/>
                </w:rPr>
                <w:t>0</w:t>
              </w:r>
            </w:hyperlink>
            <w:hyperlink w:anchor="i9687e02e46f54978a2dead18c4a97412_28">
              <w:r>
                <w:rPr>
                  <w:rStyle w:val="InternetLink"/>
                  <w:rFonts w:ascii="Times New Roman;serif" w:hAnsi="Times New Roman;serif"/>
                  <w:b w:val="false"/>
                  <w:color w:val="000080"/>
                  <w:sz w:val="18"/>
                  <w:u w:val="single"/>
                </w:rPr>
                <w:t>, 2026 and 2025</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28">
              <w:r>
                <w:rPr>
                  <w:rStyle w:val="InternetLink"/>
                  <w:rFonts w:ascii="Times New Roman;serif" w:hAnsi="Times New Roman;serif"/>
                  <w:b w:val="false"/>
                  <w:strike w:val="false"/>
                  <w:dstrike w:val="false"/>
                  <w:color w:val="000000"/>
                  <w:sz w:val="18"/>
                  <w:u w:val="none"/>
                  <w:effect w:val="none"/>
                </w:rPr>
                <w:t>7</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687e02e46f54978a2dead18c4a97412_643">
              <w:r>
                <w:rPr>
                  <w:rStyle w:val="InternetLink"/>
                  <w:rFonts w:ascii="Times New Roman;serif" w:hAnsi="Times New Roman;serif"/>
                  <w:b w:val="false"/>
                  <w:color w:val="000080"/>
                  <w:sz w:val="18"/>
                  <w:u w:val="single"/>
                </w:rPr>
                <w:t>Condensed Consolidated Statements of Change</w:t>
              </w:r>
            </w:hyperlink>
            <w:hyperlink w:anchor="i9687e02e46f54978a2dead18c4a97412_643">
              <w:r>
                <w:rPr>
                  <w:rStyle w:val="InternetLink"/>
                  <w:rFonts w:ascii="Times New Roman;serif" w:hAnsi="Times New Roman;serif"/>
                  <w:b w:val="false"/>
                  <w:color w:val="000080"/>
                  <w:sz w:val="18"/>
                  <w:u w:val="single"/>
                </w:rPr>
                <w:t>s</w:t>
              </w:r>
            </w:hyperlink>
            <w:hyperlink w:anchor="i9687e02e46f54978a2dead18c4a97412_643">
              <w:r>
                <w:rPr>
                  <w:rStyle w:val="InternetLink"/>
                  <w:rFonts w:ascii="Times New Roman;serif" w:hAnsi="Times New Roman;serif"/>
                  <w:b w:val="false"/>
                  <w:color w:val="000080"/>
                  <w:sz w:val="18"/>
                  <w:u w:val="single"/>
                </w:rPr>
                <w:t xml:space="preserve"> in </w:t>
              </w:r>
            </w:hyperlink>
            <w:hyperlink w:anchor="i9687e02e46f54978a2dead18c4a97412_643">
              <w:r>
                <w:rPr>
                  <w:rStyle w:val="InternetLink"/>
                  <w:rFonts w:ascii="Times New Roman;serif" w:hAnsi="Times New Roman;serif"/>
                  <w:b w:val="false"/>
                  <w:color w:val="000080"/>
                  <w:sz w:val="18"/>
                  <w:u w:val="single"/>
                </w:rPr>
                <w:t>Equity for the Three</w:t>
              </w:r>
            </w:hyperlink>
            <w:hyperlink w:anchor="i9687e02e46f54978a2dead18c4a97412_643">
              <w:r>
                <w:rPr>
                  <w:rStyle w:val="InternetLink"/>
                  <w:rFonts w:ascii="Times New Roman;serif" w:hAnsi="Times New Roman;serif"/>
                  <w:b w:val="false"/>
                  <w:color w:val="000080"/>
                  <w:sz w:val="18"/>
                  <w:u w:val="single"/>
                </w:rPr>
                <w:t xml:space="preserve"> and Six</w:t>
              </w:r>
            </w:hyperlink>
            <w:hyperlink w:anchor="i9687e02e46f54978a2dead18c4a97412_643">
              <w:r>
                <w:rPr>
                  <w:rStyle w:val="InternetLink"/>
                  <w:rFonts w:ascii="Times New Roman;serif" w:hAnsi="Times New Roman;serif"/>
                  <w:b w:val="false"/>
                  <w:color w:val="000080"/>
                  <w:sz w:val="18"/>
                  <w:u w:val="single"/>
                </w:rPr>
                <w:t xml:space="preserve"> Months Ended </w:t>
              </w:r>
            </w:hyperlink>
            <w:hyperlink w:anchor="i9687e02e46f54978a2dead18c4a97412_643">
              <w:r>
                <w:rPr>
                  <w:rStyle w:val="InternetLink"/>
                  <w:rFonts w:ascii="Times New Roman;serif" w:hAnsi="Times New Roman;serif"/>
                  <w:b w:val="false"/>
                  <w:color w:val="000080"/>
                  <w:sz w:val="18"/>
                  <w:u w:val="single"/>
                </w:rPr>
                <w:t>June</w:t>
              </w:r>
            </w:hyperlink>
            <w:hyperlink w:anchor="i9687e02e46f54978a2dead18c4a97412_643">
              <w:r>
                <w:rPr>
                  <w:rStyle w:val="InternetLink"/>
                  <w:rFonts w:ascii="Times New Roman;serif" w:hAnsi="Times New Roman;serif"/>
                  <w:b w:val="false"/>
                  <w:color w:val="000080"/>
                  <w:sz w:val="18"/>
                  <w:u w:val="single"/>
                </w:rPr>
                <w:t xml:space="preserve"> 3</w:t>
              </w:r>
            </w:hyperlink>
            <w:hyperlink w:anchor="i9687e02e46f54978a2dead18c4a97412_643">
              <w:r>
                <w:rPr>
                  <w:rStyle w:val="InternetLink"/>
                  <w:rFonts w:ascii="Times New Roman;serif" w:hAnsi="Times New Roman;serif"/>
                  <w:b w:val="false"/>
                  <w:color w:val="000080"/>
                  <w:sz w:val="18"/>
                  <w:u w:val="single"/>
                </w:rPr>
                <w:t>0</w:t>
              </w:r>
            </w:hyperlink>
            <w:hyperlink w:anchor="i9687e02e46f54978a2dead18c4a97412_643">
              <w:r>
                <w:rPr>
                  <w:rStyle w:val="InternetLink"/>
                  <w:rFonts w:ascii="Times New Roman;serif" w:hAnsi="Times New Roman;serif"/>
                  <w:b w:val="false"/>
                  <w:color w:val="000080"/>
                  <w:sz w:val="18"/>
                  <w:u w:val="single"/>
                </w:rPr>
                <w:t>, 2026 and 2025</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643">
              <w:r>
                <w:rPr>
                  <w:rStyle w:val="InternetLink"/>
                  <w:rFonts w:ascii="Times New Roman;serif" w:hAnsi="Times New Roman;serif"/>
                  <w:b w:val="false"/>
                  <w:strike w:val="false"/>
                  <w:dstrike w:val="false"/>
                  <w:color w:val="000000"/>
                  <w:sz w:val="18"/>
                  <w:u w:val="none"/>
                  <w:effect w:val="none"/>
                </w:rPr>
                <w:t>8</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687e02e46f54978a2dead18c4a97412_34">
              <w:r>
                <w:rPr>
                  <w:rStyle w:val="InternetLink"/>
                  <w:rFonts w:ascii="Times New Roman;serif" w:hAnsi="Times New Roman;serif"/>
                  <w:b w:val="false"/>
                  <w:color w:val="0000FF"/>
                  <w:sz w:val="18"/>
                  <w:u w:val="single"/>
                </w:rPr>
                <w:t>Notes to Condensed Consolidated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34">
              <w:r>
                <w:rPr>
                  <w:rStyle w:val="InternetLink"/>
                  <w:rFonts w:ascii="Times New Roman;serif" w:hAnsi="Times New Roman;serif"/>
                  <w:b w:val="false"/>
                  <w:strike w:val="false"/>
                  <w:dstrike w:val="false"/>
                  <w:color w:val="000000"/>
                  <w:sz w:val="18"/>
                  <w:u w:val="none"/>
                  <w:effect w:val="none"/>
                </w:rPr>
                <w:t>9</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7e02e46f54978a2dead18c4a97412_97">
              <w:r>
                <w:rPr>
                  <w:rStyle w:val="InternetLink"/>
                  <w:rFonts w:ascii="Times New Roman;serif" w:hAnsi="Times New Roman;serif"/>
                  <w:b w:val="false"/>
                  <w:strike w:val="false"/>
                  <w:dstrike w:val="false"/>
                  <w:color w:val="000000"/>
                  <w:sz w:val="18"/>
                  <w:u w:val="none"/>
                  <w:effect w:val="none"/>
                </w:rPr>
                <w:t>Item 2.</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97">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97">
              <w:r>
                <w:rPr>
                  <w:rStyle w:val="InternetLink"/>
                  <w:rFonts w:ascii="Times New Roman;serif" w:hAnsi="Times New Roman;serif"/>
                  <w:b w:val="false"/>
                  <w:strike w:val="false"/>
                  <w:dstrike w:val="false"/>
                  <w:color w:val="000000"/>
                  <w:sz w:val="18"/>
                  <w:u w:val="none"/>
                  <w:effect w:val="none"/>
                </w:rPr>
                <w:t>27</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7e02e46f54978a2dead18c4a97412_115">
              <w:r>
                <w:rPr>
                  <w:rStyle w:val="InternetLink"/>
                  <w:rFonts w:ascii="Times New Roman;serif" w:hAnsi="Times New Roman;serif"/>
                  <w:b w:val="false"/>
                  <w:strike w:val="false"/>
                  <w:dstrike w:val="false"/>
                  <w:color w:val="000000"/>
                  <w:sz w:val="18"/>
                  <w:u w:val="none"/>
                  <w:effect w:val="none"/>
                </w:rPr>
                <w:t>Item 3.</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15">
              <w:r>
                <w:rPr>
                  <w:rStyle w:val="InternetLink"/>
                  <w:rFonts w:ascii="Times New Roman;serif" w:hAnsi="Times New Roman;serif"/>
                  <w:b w:val="false"/>
                  <w:color w:val="0000FF"/>
                  <w:sz w:val="18"/>
                  <w:u w:val="single"/>
                </w:rPr>
                <w:t>Quantitative and Qualitative Disclosures About Market Risk</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15">
              <w:r>
                <w:rPr>
                  <w:rStyle w:val="InternetLink"/>
                  <w:rFonts w:ascii="Times New Roman;serif" w:hAnsi="Times New Roman;serif"/>
                  <w:b w:val="false"/>
                  <w:strike w:val="false"/>
                  <w:dstrike w:val="false"/>
                  <w:color w:val="000000"/>
                  <w:sz w:val="18"/>
                  <w:u w:val="none"/>
                  <w:effect w:val="none"/>
                </w:rPr>
                <w:t>36</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7e02e46f54978a2dead18c4a97412_118">
              <w:r>
                <w:rPr>
                  <w:rStyle w:val="InternetLink"/>
                  <w:rFonts w:ascii="Times New Roman;serif" w:hAnsi="Times New Roman;serif"/>
                  <w:b w:val="false"/>
                  <w:strike w:val="false"/>
                  <w:dstrike w:val="false"/>
                  <w:color w:val="000000"/>
                  <w:sz w:val="18"/>
                  <w:u w:val="none"/>
                  <w:effect w:val="none"/>
                </w:rPr>
                <w:t>Item 4.</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18">
              <w:r>
                <w:rPr>
                  <w:rStyle w:val="InternetLink"/>
                  <w:rFonts w:ascii="Times New Roman;serif" w:hAnsi="Times New Roman;serif"/>
                  <w:b w:val="false"/>
                  <w:color w:val="0000FF"/>
                  <w:sz w:val="18"/>
                  <w:u w:val="single"/>
                </w:rPr>
                <w:t>Controls and Procedures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18">
              <w:r>
                <w:rPr>
                  <w:rStyle w:val="InternetLink"/>
                  <w:rFonts w:ascii="Times New Roman;serif" w:hAnsi="Times New Roman;serif"/>
                  <w:b w:val="false"/>
                  <w:strike w:val="false"/>
                  <w:dstrike w:val="false"/>
                  <w:color w:val="000000"/>
                  <w:sz w:val="18"/>
                  <w:u w:val="none"/>
                  <w:effect w:val="none"/>
                </w:rPr>
                <w:t>36</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u w:val="single"/>
              </w:rPr>
            </w:pPr>
            <w:r>
              <w:rPr>
                <w:rFonts w:ascii="Times New Roman;serif" w:hAnsi="Times New Roman;serif"/>
                <w:b/>
                <w:color w:val="000000"/>
                <w:sz w:val="18"/>
                <w:u w:val="single"/>
              </w:rPr>
              <w:t>PART II — OTHER INFORMATION</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7e02e46f54978a2dead18c4a97412_121">
              <w:r>
                <w:rPr>
                  <w:rStyle w:val="InternetLink"/>
                  <w:rFonts w:ascii="Times New Roman;serif" w:hAnsi="Times New Roman;serif"/>
                  <w:b w:val="false"/>
                  <w:strike w:val="false"/>
                  <w:dstrike w:val="false"/>
                  <w:color w:val="000000"/>
                  <w:sz w:val="18"/>
                  <w:u w:val="none"/>
                  <w:effect w:val="none"/>
                </w:rPr>
                <w:t>Item 1.</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21">
              <w:r>
                <w:rPr>
                  <w:rStyle w:val="InternetLink"/>
                  <w:rFonts w:ascii="Times New Roman;serif" w:hAnsi="Times New Roman;serif"/>
                  <w:b w:val="false"/>
                  <w:color w:val="0000FF"/>
                  <w:sz w:val="18"/>
                  <w:u w:val="single"/>
                </w:rPr>
                <w:t>Legal Proceedings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21">
              <w:r>
                <w:rPr>
                  <w:rStyle w:val="InternetLink"/>
                  <w:rFonts w:ascii="Times New Roman;serif" w:hAnsi="Times New Roman;serif"/>
                  <w:b w:val="false"/>
                  <w:strike w:val="false"/>
                  <w:dstrike w:val="false"/>
                  <w:color w:val="000000"/>
                  <w:sz w:val="18"/>
                  <w:u w:val="none"/>
                  <w:effect w:val="none"/>
                </w:rPr>
                <w:t>37</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7e02e46f54978a2dead18c4a97412_124">
              <w:r>
                <w:rPr>
                  <w:rStyle w:val="InternetLink"/>
                  <w:rFonts w:ascii="Times New Roman;serif" w:hAnsi="Times New Roman;serif"/>
                  <w:b w:val="false"/>
                  <w:strike w:val="false"/>
                  <w:dstrike w:val="false"/>
                  <w:color w:val="000000"/>
                  <w:sz w:val="18"/>
                  <w:u w:val="none"/>
                  <w:effect w:val="none"/>
                </w:rPr>
                <w:t>Item 1A.</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24">
              <w:r>
                <w:rPr>
                  <w:rStyle w:val="InternetLink"/>
                  <w:rFonts w:ascii="Times New Roman;serif" w:hAnsi="Times New Roman;serif"/>
                  <w:b w:val="false"/>
                  <w:color w:val="0000FF"/>
                  <w:sz w:val="18"/>
                  <w:u w:val="single"/>
                </w:rPr>
                <w:t>Risk Factors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24">
              <w:r>
                <w:rPr>
                  <w:rStyle w:val="InternetLink"/>
                  <w:rFonts w:ascii="Times New Roman;serif" w:hAnsi="Times New Roman;serif"/>
                  <w:b w:val="false"/>
                  <w:strike w:val="false"/>
                  <w:dstrike w:val="false"/>
                  <w:color w:val="000000"/>
                  <w:sz w:val="18"/>
                  <w:u w:val="none"/>
                  <w:effect w:val="none"/>
                </w:rPr>
                <w:t>37</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w:t>
            </w:r>
            <w:hyperlink w:anchor="i9687e02e46f54978a2dead18c4a97412_127">
              <w:r>
                <w:rPr>
                  <w:rStyle w:val="InternetLink"/>
                  <w:rFonts w:ascii="Times New Roman;serif" w:hAnsi="Times New Roman;serif"/>
                  <w:b w:val="false"/>
                  <w:strike w:val="false"/>
                  <w:dstrike w:val="false"/>
                  <w:color w:val="000000"/>
                  <w:sz w:val="18"/>
                  <w:u w:val="none"/>
                  <w:effect w:val="none"/>
                </w:rPr>
                <w:t>tem 2</w:t>
              </w:r>
            </w:hyperlink>
            <w:r>
              <w:rPr>
                <w:rFonts w:ascii="Times New Roman;serif" w:hAnsi="Times New Roman;serif"/>
                <w:b w:val="false"/>
                <w:color w:val="000000"/>
                <w:sz w:val="18"/>
              </w:rPr>
              <w:t>.</w:t>
            </w:r>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27">
              <w:r>
                <w:rPr>
                  <w:rStyle w:val="InternetLink"/>
                  <w:rFonts w:ascii="Times New Roman;serif" w:hAnsi="Times New Roman;serif"/>
                  <w:b w:val="false"/>
                  <w:color w:val="0000FF"/>
                  <w:sz w:val="18"/>
                  <w:u w:val="single"/>
                </w:rPr>
                <w:t>Unregistered Sales of Equity Securities and Use of Proceeds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27">
              <w:r>
                <w:rPr>
                  <w:rStyle w:val="InternetLink"/>
                  <w:rFonts w:ascii="Times New Roman;serif" w:hAnsi="Times New Roman;serif"/>
                  <w:b w:val="false"/>
                  <w:strike w:val="false"/>
                  <w:dstrike w:val="false"/>
                  <w:color w:val="000000"/>
                  <w:sz w:val="18"/>
                  <w:u w:val="none"/>
                  <w:effect w:val="none"/>
                </w:rPr>
                <w:t>37</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7e02e46f54978a2dead18c4a97412_130">
              <w:r>
                <w:rPr>
                  <w:rStyle w:val="InternetLink"/>
                  <w:rFonts w:ascii="Times New Roman;serif" w:hAnsi="Times New Roman;serif"/>
                  <w:b w:val="false"/>
                  <w:strike w:val="false"/>
                  <w:dstrike w:val="false"/>
                  <w:color w:val="000000"/>
                  <w:sz w:val="18"/>
                  <w:u w:val="none"/>
                  <w:effect w:val="none"/>
                </w:rPr>
                <w:t>Item 3.</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30">
              <w:r>
                <w:rPr>
                  <w:rStyle w:val="InternetLink"/>
                  <w:rFonts w:ascii="Times New Roman;serif" w:hAnsi="Times New Roman;serif"/>
                  <w:b w:val="false"/>
                  <w:color w:val="0000FF"/>
                  <w:sz w:val="18"/>
                  <w:u w:val="single"/>
                </w:rPr>
                <w:t>Defaults Upon Senior Securities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30">
              <w:r>
                <w:rPr>
                  <w:rStyle w:val="InternetLink"/>
                  <w:rFonts w:ascii="Times New Roman;serif" w:hAnsi="Times New Roman;serif"/>
                  <w:b w:val="false"/>
                  <w:strike w:val="false"/>
                  <w:dstrike w:val="false"/>
                  <w:color w:val="000000"/>
                  <w:sz w:val="18"/>
                  <w:u w:val="none"/>
                  <w:effect w:val="none"/>
                </w:rPr>
                <w:t>37</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Item 4</w:t>
            </w:r>
            <w:hyperlink w:anchor="i9687e02e46f54978a2dead18c4a97412_133">
              <w:r>
                <w:rPr>
                  <w:rStyle w:val="InternetLink"/>
                  <w:rFonts w:ascii="Times New Roman;serif" w:hAnsi="Times New Roman;serif"/>
                  <w:b w:val="false"/>
                  <w:strike w:val="false"/>
                  <w:dstrike w:val="false"/>
                  <w:color w:val="000000"/>
                  <w:sz w:val="18"/>
                  <w:u w:val="none"/>
                  <w:effect w:val="none"/>
                </w:rPr>
                <w:t>.</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33">
              <w:r>
                <w:rPr>
                  <w:rStyle w:val="InternetLink"/>
                  <w:rFonts w:ascii="Times New Roman;serif" w:hAnsi="Times New Roman;serif"/>
                  <w:b w:val="false"/>
                  <w:color w:val="0000FF"/>
                  <w:sz w:val="18"/>
                  <w:u w:val="single"/>
                </w:rPr>
                <w:t>Mine Safety Disclosures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33">
              <w:r>
                <w:rPr>
                  <w:rStyle w:val="InternetLink"/>
                  <w:rFonts w:ascii="Times New Roman;serif" w:hAnsi="Times New Roman;serif"/>
                  <w:b w:val="false"/>
                  <w:strike w:val="false"/>
                  <w:dstrike w:val="false"/>
                  <w:color w:val="000000"/>
                  <w:sz w:val="18"/>
                  <w:u w:val="none"/>
                  <w:effect w:val="none"/>
                </w:rPr>
                <w:t>37</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Item 5</w:t>
            </w:r>
            <w:hyperlink w:anchor="i9687e02e46f54978a2dead18c4a97412_136">
              <w:r>
                <w:rPr>
                  <w:rStyle w:val="InternetLink"/>
                  <w:rFonts w:ascii="Times New Roman;serif" w:hAnsi="Times New Roman;serif"/>
                  <w:b w:val="false"/>
                  <w:strike w:val="false"/>
                  <w:dstrike w:val="false"/>
                  <w:color w:val="000000"/>
                  <w:sz w:val="18"/>
                  <w:u w:val="none"/>
                  <w:effect w:val="none"/>
                </w:rPr>
                <w:t>.</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160" w:after="160"/>
              <w:jc w:val="both"/>
              <w:rPr/>
            </w:pPr>
            <w:hyperlink w:anchor="i9687e02e46f54978a2dead18c4a97412_136">
              <w:r>
                <w:rPr>
                  <w:rStyle w:val="InternetLink"/>
                  <w:rFonts w:ascii="Times New Roman;serif" w:hAnsi="Times New Roman;serif"/>
                  <w:b w:val="false"/>
                  <w:color w:val="0000FF"/>
                  <w:sz w:val="18"/>
                  <w:u w:val="single"/>
                </w:rPr>
                <w:t>Other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36">
              <w:r>
                <w:rPr>
                  <w:rStyle w:val="InternetLink"/>
                  <w:rFonts w:ascii="Times New Roman;serif" w:hAnsi="Times New Roman;serif"/>
                  <w:b w:val="false"/>
                  <w:strike w:val="false"/>
                  <w:dstrike w:val="false"/>
                  <w:color w:val="000000"/>
                  <w:sz w:val="18"/>
                  <w:u w:val="none"/>
                  <w:effect w:val="none"/>
                </w:rPr>
                <w:t>37</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87e02e46f54978a2dead18c4a97412_139">
              <w:r>
                <w:rPr>
                  <w:rStyle w:val="InternetLink"/>
                  <w:rFonts w:ascii="Times New Roman;serif" w:hAnsi="Times New Roman;serif"/>
                  <w:b w:val="false"/>
                  <w:strike w:val="false"/>
                  <w:dstrike w:val="false"/>
                  <w:color w:val="000000"/>
                  <w:sz w:val="18"/>
                  <w:u w:val="none"/>
                  <w:effect w:val="none"/>
                </w:rPr>
                <w:t>Item 6.</w:t>
              </w:r>
            </w:hyperlink>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39">
              <w:r>
                <w:rPr>
                  <w:rStyle w:val="InternetLink"/>
                  <w:rFonts w:ascii="Times New Roman;serif" w:hAnsi="Times New Roman;serif"/>
                  <w:b w:val="false"/>
                  <w:color w:val="0000FF"/>
                  <w:sz w:val="18"/>
                  <w:u w:val="single"/>
                </w:rPr>
                <w:t>Exhibits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39">
              <w:r>
                <w:rPr>
                  <w:rStyle w:val="InternetLink"/>
                  <w:rFonts w:ascii="Times New Roman;serif" w:hAnsi="Times New Roman;serif"/>
                  <w:b w:val="false"/>
                  <w:strike w:val="false"/>
                  <w:dstrike w:val="false"/>
                  <w:color w:val="000000"/>
                  <w:sz w:val="18"/>
                  <w:u w:val="none"/>
                  <w:effect w:val="none"/>
                </w:rPr>
                <w:t>38</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cMar>
              <w:top w:w="0" w:type="dxa"/>
              <w:left w:w="0" w:type="dxa"/>
              <w:bottom w:w="0" w:type="dxa"/>
              <w:right w:w="0" w:type="dxa"/>
            </w:tcMar>
            <w:vAlign w:val="center"/>
          </w:tcPr>
          <w:p>
            <w:pPr>
              <w:pStyle w:val="TableContents"/>
              <w:bidi w:val="0"/>
              <w:spacing w:lineRule="auto" w:line="288" w:before="0" w:after="160"/>
              <w:jc w:val="both"/>
              <w:rPr/>
            </w:pPr>
            <w:hyperlink w:anchor="i9687e02e46f54978a2dead18c4a97412_142">
              <w:r>
                <w:rPr>
                  <w:rStyle w:val="InternetLink"/>
                  <w:rFonts w:ascii="Times New Roman;serif" w:hAnsi="Times New Roman;serif"/>
                  <w:b w:val="false"/>
                  <w:color w:val="0000FF"/>
                  <w:sz w:val="18"/>
                  <w:u w:val="single"/>
                </w:rPr>
                <w:t>Signatures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87e02e46f54978a2dead18c4a97412_142">
              <w:r>
                <w:rPr>
                  <w:rStyle w:val="InternetLink"/>
                  <w:rFonts w:ascii="Times New Roman;serif" w:hAnsi="Times New Roman;serif"/>
                  <w:b w:val="false"/>
                  <w:strike w:val="false"/>
                  <w:dstrike w:val="false"/>
                  <w:color w:val="000000"/>
                  <w:sz w:val="18"/>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center"/>
        <w:rPr/>
      </w:pPr>
      <w:r>
        <w:rPr/>
      </w:r>
    </w:p>
    <w:p>
      <w:pPr>
        <w:pStyle w:val="TextBody"/>
        <w:bidi w:val="0"/>
        <w:spacing w:before="0" w:after="160"/>
        <w:jc w:val="center"/>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Cautionary Statement Regarding Forward-Looking Statements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Statements that are predictive in nature, that depend upon or refer to future events or conditions or that include the words “may,” “could,” “should,” “will,” “plan,” “project,” “budget,” “predict,” “pursue,” “target,” “seek,” “objective,” “believe,” “expect,” “anticipate,” “intend,” “estimate,” and other expressions that are predictions of or indicate future events and trends and that do not relate to historical matters identify forward-looking statements. These forward-looking statements generally relate to expectations, beliefs, future events, future expected business or our future financial or operating performance and prospects and include statements regarding our business strategy, our industry, our expected capital expenditures and the impact of such expenditures on our performance.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These forward-looking statements are based on our current expectations and assumptions, based on currently available information, as to the outcome and timing of future events. When considering forward-looking statements, you should keep in mind the risk factors and other cautionary statements in our filings with the Securities and Exchange Commission (the “SEC”), including those described under the heading “Risk Factors” included in our final prospectus dated March 31, 2026 and filed with the SEC pursuant to Rule 424(b) under the Securities Act on April 1, 2026 (the “Final Prospectus”) and subsequent Quarterly Reports on Form 10-Q. Factors that could cause our actual results to differ materially from the results contemplated by such forward-looking statements include: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uncertainty regarding the timing, pace and extent of an economic recovery in the United States and elsewhere, which, in turn, will likely affect demand for oil and natural gas and therefore the demand for our products and services;</w:t>
      </w:r>
      <w:r>
        <w:rPr>
          <w:color w:val="000000"/>
        </w:rPr>
        <w:t>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18"/>
        </w:rPr>
        <w:t>worldwide demand for, and production of, oil and natural gas and the resultant market prices of oil and natural gas;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global or national health concerns, including health epidemics or pandemics such as the COVID-19 pandemic, related economic repercussions and the resulting severe disruption in the oil and natural gas industry and negative impact on demand for oil and natural gas, which may negatively impact our business;</w:t>
      </w:r>
      <w:r>
        <w:rPr>
          <w:color w:val="000000"/>
        </w:rPr>
        <w:t>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a further decline or future decline in spending by our customers in the oil and natural gas industry;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actions by the Organization of the Petroleum Exporting Countries (“OPEC”), its members and other state-controlled oil companies relating to oil price and production controls;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18"/>
        </w:rPr>
        <w:t>the level of production in non-OPEC countries;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domestic and international political, military, regulatory and economic conditions, including global inflationary pressures, Russia’s ongoing invasion of Ukraine and sanctions related thereto, the ongoing conflicts in the Middle East, including Israel and Iran, and political, economic and social instability in Venezuela, each of which may negatively impact our operating results;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changes in general economic and geopolitical conditions;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competition among oilfield service and equipment providers;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changes in the long-term supply of, demand for and inventory levels of oil and natural gas;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cost and availability of storage and transportation of oil, gas and related products;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actions taken by our customers, competitors and third-party operators;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discovery rate, size and location of new oil and natural gas reserves, including in offshore areas;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delay and regulatory uncertainty stemming from local or environmental non-governmental opposition to offshore and onshore energy development projects;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laws and regulations related to environmental matters, including those addressing alternative energy sources and the risks of global climate change;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ability of oil and natural gas producers to generate funds for their capital-intensive businesses, including via their ability to raise equity capital and debt financing;</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 xml:space="preserve">our ability to successfully implement our business plan;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large or multiple customer defaults, including defaults resulting from actual or potential insolvencies;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contractions in the credit market and the price and availability of debt and equity financing (including changes in interest rates);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our ability to complete growth strategies on time and on budget;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our ability to integrate and realize the benefits expected from recent and potential future acquisitions, including any related synergies;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center"/>
        <w:rPr/>
      </w:pPr>
      <w:r>
        <w:rPr/>
      </w:r>
    </w:p>
    <w:p>
      <w:pPr>
        <w:pStyle w:val="TextBody"/>
        <w:bidi w:val="0"/>
        <w:spacing w:before="0" w:after="160"/>
        <w:jc w:val="center"/>
        <w:rPr/>
      </w:pPr>
      <w:r>
        <w:rPr/>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introduction of new drilling or completion techniques or equipment, products or services using new technologies subject to patent or other intellectual property protections and our ability to obtain and, as applicable, enforce such intellectual property protections;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technological advances, including technology related to the exploitation of shale oil, which can result in over-supply of oil and natural gas or a change in demand for oil and natural gas;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operating hazards, natural disasters, weather-related delays, casualty losses and other matters beyond our control;</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unionization of our workforce;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18"/>
        </w:rPr>
        <w:t>the imposition of laws or regulations that result in reduced exploration and production (“E&amp;P”) activities or that increase our operating costs or operating requirements, including laws and regulations addressing climate change;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asserted and unasserted claims and the extent of available insurance coverage;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social unrest, acts of terrorism, war and other armed conflict;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loss or corruption of our information or a cyberattack on our computer systems;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price and availability of alternative fuels and energy sources;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federal, state and local regulation of oilfield service activities, as well as E&amp;P activities, including public pressure on governmental bodies and regulatory agencies to regulate our industry;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existing and future laws and governmental regulations (or the interpretation thereof) on us and our customers;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inflation;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supply chain disruptions;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the effects of future litigation;</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expectations regarding future energy prices;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disruptions in global trade, including as a result of tariffs, trade restrictions, retaliatory trade measures or the effect of such actions on trading relationships between the United States and other countries;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worldwide financial instability or recessions;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other factors described in the Final Prospectus.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You should not place undue reliance on our forward-looking statements. Although forward-looking statements reflect our good faith beliefs at the time they are made,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w:t>
      </w:r>
    </w:p>
    <w:p>
      <w:pPr>
        <w:pStyle w:val="TextBody"/>
        <w:bidi w:val="0"/>
        <w:spacing w:lineRule="auto" w:line="288" w:before="160" w:after="160"/>
        <w:jc w:val="both"/>
        <w:rPr/>
      </w:pPr>
      <w:r>
        <w:rPr>
          <w:rFonts w:ascii="Times New Roman;serif" w:hAnsi="Times New Roman;serif"/>
          <w:b w:val="false"/>
          <w:color w:val="000000"/>
          <w:sz w:val="18"/>
        </w:rPr>
        <w:t xml:space="preserve">Investors and others should note that we may announce material information using SEC filings, press releases, public conference calls, webcasts and the Investors section of our website at </w:t>
      </w:r>
      <w:r>
        <w:rPr>
          <w:rFonts w:ascii="Times New Roman;serif" w:hAnsi="Times New Roman;serif"/>
          <w:b w:val="false"/>
          <w:i/>
          <w:color w:val="000000"/>
          <w:sz w:val="18"/>
        </w:rPr>
        <w:t>www.hmhw.com</w:t>
      </w:r>
      <w:r>
        <w:rPr>
          <w:rFonts w:ascii="Times New Roman;serif" w:hAnsi="Times New Roman;serif"/>
          <w:b w:val="false"/>
          <w:color w:val="000000"/>
          <w:sz w:val="18"/>
        </w:rPr>
        <w:t xml:space="preserve">. We may use these channels to distribute material information about us; therefore, we encourage investors, the media, business partners and others interested in us to review the information posted on our website. The information on our website is not part of, and is not incorporated into,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INCOME (UNAUDITED)</w:t>
      </w:r>
    </w:p>
    <w:tbl>
      <w:tblPr>
        <w:tblW w:w="10205" w:type="dxa"/>
        <w:jc w:val="center"/>
        <w:tblInd w:w="0" w:type="dxa"/>
        <w:tblLayout w:type="fixed"/>
        <w:tblCellMar>
          <w:top w:w="28" w:type="dxa"/>
          <w:left w:w="28" w:type="dxa"/>
          <w:bottom w:w="28" w:type="dxa"/>
          <w:right w:w="28" w:type="dxa"/>
        </w:tblCellMar>
      </w:tblPr>
      <w:tblGrid>
        <w:gridCol w:w="1996"/>
        <w:gridCol w:w="1585"/>
        <w:gridCol w:w="1473"/>
        <w:gridCol w:w="208"/>
        <w:gridCol w:w="686"/>
        <w:gridCol w:w="115"/>
        <w:gridCol w:w="115"/>
        <w:gridCol w:w="115"/>
        <w:gridCol w:w="115"/>
        <w:gridCol w:w="208"/>
        <w:gridCol w:w="686"/>
        <w:gridCol w:w="115"/>
        <w:gridCol w:w="109"/>
        <w:gridCol w:w="109"/>
        <w:gridCol w:w="109"/>
        <w:gridCol w:w="196"/>
        <w:gridCol w:w="736"/>
        <w:gridCol w:w="109"/>
        <w:gridCol w:w="109"/>
        <w:gridCol w:w="109"/>
        <w:gridCol w:w="109"/>
        <w:gridCol w:w="196"/>
        <w:gridCol w:w="736"/>
        <w:gridCol w:w="161"/>
      </w:tblGrid>
      <w:tr>
        <w:trPr/>
        <w:tc>
          <w:tcPr>
            <w:tcW w:w="199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21"/>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89,072 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175,840 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112,325 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revenue</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401,887 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58,766 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120,749 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products</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53,422 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spare parts</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72,560 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sales</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109,524 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151,545 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293,428 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60,354 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29,441 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65,679 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 (income), net</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182,707 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365,130 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20,750 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36,757 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 net</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6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(9,525)</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14,926 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26,060 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15,646 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HMH Holding Inc.</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color w:val="000000"/>
                <w:sz w:val="18"/>
              </w:rPr>
              <w:t>Net income (loss) per share of common stock (actual)</w:t>
            </w:r>
            <w:r>
              <w:rPr>
                <w:rFonts w:ascii="Times New Roman;serif" w:hAnsi="Times New Roman;serif"/>
                <w:b/>
                <w:color w:val="000000"/>
                <w:sz w:val="12"/>
              </w:rPr>
              <w:t>(a)</w:t>
            </w:r>
            <w:r>
              <w:rPr>
                <w:rFonts w:ascii="Times New Roman;serif" w:hAnsi="Times New Roman;serif"/>
                <w:b/>
                <w:color w:val="000000"/>
                <w:sz w:val="18"/>
              </w:rPr>
              <w:t>:</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color w:val="000000"/>
                <w:sz w:val="18"/>
              </w:rPr>
              <w:t xml:space="preserve">Weighted-average shares of common stock for HMH and HMH B.V. outstanding </w:t>
            </w:r>
            <w:r>
              <w:rPr>
                <w:rFonts w:ascii="Times New Roman;serif" w:hAnsi="Times New Roman;serif"/>
                <w:b/>
                <w:color w:val="000000"/>
                <w:sz w:val="12"/>
              </w:rPr>
              <w:t>(a):</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6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i/>
          <w:color w:val="000000"/>
          <w:sz w:val="15"/>
        </w:rPr>
      </w:pPr>
      <w:r>
        <w:rPr>
          <w:rFonts w:ascii="Times New Roman;serif" w:hAnsi="Times New Roman;serif"/>
          <w:b w:val="false"/>
          <w:i/>
          <w:color w:val="000000"/>
          <w:sz w:val="15"/>
        </w:rPr>
        <w:t>(a).Basic and diluted shares used for computing earnings per share for periods prior to our initial public offering (“IPO”) have been retrospectively adjusted to give effect of the organizational transactions. The calculation of basic and diluted weighted average shares used for calculating earnings (loss) per share for the three and six months ended June 30, 2025 does not include the 11.2 million shares of Class A common stock sold in the IPO. See Note 19—“Earnings per Share” in the notes to HMH’s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pStyle w:val="TextBody"/>
        <w:bidi w:val="0"/>
        <w:spacing w:before="0" w:after="0"/>
        <w:jc w:val="center"/>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36700"/>
                <wp:effectExtent l="0" t="0" r="0" b="0"/>
                <wp:wrapNone/>
                <wp:docPr id="5" name="Frame5"/>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COMPREHENSIVE INCOME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7"/>
        <w:gridCol w:w="1648"/>
        <w:gridCol w:w="1652"/>
        <w:gridCol w:w="214"/>
        <w:gridCol w:w="689"/>
        <w:gridCol w:w="119"/>
        <w:gridCol w:w="119"/>
        <w:gridCol w:w="119"/>
        <w:gridCol w:w="119"/>
        <w:gridCol w:w="214"/>
        <w:gridCol w:w="708"/>
        <w:gridCol w:w="119"/>
        <w:gridCol w:w="109"/>
        <w:gridCol w:w="109"/>
        <w:gridCol w:w="109"/>
        <w:gridCol w:w="196"/>
        <w:gridCol w:w="646"/>
        <w:gridCol w:w="109"/>
        <w:gridCol w:w="109"/>
        <w:gridCol w:w="109"/>
        <w:gridCol w:w="109"/>
        <w:gridCol w:w="196"/>
        <w:gridCol w:w="646"/>
        <w:gridCol w:w="161"/>
      </w:tblGrid>
      <w:tr>
        <w:trPr/>
        <w:tc>
          <w:tcPr>
            <w:tcW w:w="187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1"/>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 xml:space="preserve">(in thousands) </w:t>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 net of tax</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cash flow hedges</w:t>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fair value of cash flow hedges</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(expense) on effect of changes in cash flow hedges</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fair value of cash flow hedges, after taxes</w:t>
            </w:r>
          </w:p>
        </w:tc>
        <w:tc>
          <w:tcPr>
            <w:tcW w:w="9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Benefit plans</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benefit plans</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(expense) on effect of changes in benefit plans</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of changes in benefit plans, after taxes</w:t>
            </w:r>
          </w:p>
        </w:tc>
        <w:tc>
          <w:tcPr>
            <w:tcW w:w="9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w:t>
            </w:r>
          </w:p>
        </w:tc>
        <w:tc>
          <w:tcPr>
            <w:tcW w:w="9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22,364 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9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18,553 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38,010 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HMH Holding Inc.</w:t>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17,734 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37,425 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36700"/>
                <wp:effectExtent l="0" t="0" r="0" b="0"/>
                <wp:wrapNone/>
                <wp:docPr id="6" name="Frame6"/>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889"/>
        <w:gridCol w:w="2275"/>
        <w:gridCol w:w="2315"/>
        <w:gridCol w:w="196"/>
        <w:gridCol w:w="871"/>
        <w:gridCol w:w="109"/>
        <w:gridCol w:w="109"/>
        <w:gridCol w:w="109"/>
        <w:gridCol w:w="109"/>
        <w:gridCol w:w="196"/>
        <w:gridCol w:w="871"/>
        <w:gridCol w:w="156"/>
      </w:tblGrid>
      <w:tr>
        <w:trPr/>
        <w:tc>
          <w:tcPr>
            <w:tcW w:w="288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 xml:space="preserve">(in thousands, except par value) </w:t>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accounts receivable, net of allowance of $1,820 and $2,889,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accounts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receivable—current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253,759 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receivables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Prepaids and other current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629,210 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$76,391 and $67,372, respectively</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200,818 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 relationships, net of accumulated amortization of $50,254 and $46,299,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of accumulated amortization of $58,920 and $49,731,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1,362,565 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1,357,704 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payable—related party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95,780 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223,639 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195,636 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net—related party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657,252 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 equity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 Authorized — 1,000,000,000 shares; Issued — 12,296,857 shares; and Shares outstanding — 12,042,625 as of June 30, 2026)</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$0.01 per share; Authorized — 500,000,000 shares; Issued — 31,891,652 shares; and Shares outstanding — 31,891,652 as of June 30, 2026)</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held in treasury (254,232 shares as of June 30, 2026)</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HMH Holding Inc. equity</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698,613 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846,399 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700,452 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1,362,565 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1,357,704 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36700"/>
                <wp:effectExtent l="0" t="0" r="0" b="0"/>
                <wp:wrapNone/>
                <wp:docPr id="7" name="Frame7"/>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 (UNAUDITED)</w:t>
      </w:r>
    </w:p>
    <w:tbl>
      <w:tblPr>
        <w:tblW w:w="9279" w:type="dxa"/>
        <w:jc w:val="left"/>
        <w:tblInd w:w="0" w:type="dxa"/>
        <w:tblLayout w:type="fixed"/>
        <w:tblCellMar>
          <w:top w:w="28" w:type="dxa"/>
          <w:left w:w="28" w:type="dxa"/>
          <w:bottom w:w="28" w:type="dxa"/>
          <w:right w:w="28" w:type="dxa"/>
        </w:tblCellMar>
      </w:tblPr>
      <w:tblGrid>
        <w:gridCol w:w="2504"/>
        <w:gridCol w:w="2197"/>
        <w:gridCol w:w="2214"/>
        <w:gridCol w:w="196"/>
        <w:gridCol w:w="736"/>
        <w:gridCol w:w="109"/>
        <w:gridCol w:w="109"/>
        <w:gridCol w:w="109"/>
        <w:gridCol w:w="109"/>
        <w:gridCol w:w="196"/>
        <w:gridCol w:w="646"/>
        <w:gridCol w:w="154"/>
      </w:tblGrid>
      <w:tr>
        <w:trPr/>
        <w:tc>
          <w:tcPr>
            <w:tcW w:w="250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16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(in thousands) </w:t>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15,646 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20,993 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borrowing costs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expense (benefit)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Payment-in-kind interest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5,421 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 expense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inventory write-down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related party accounts receivable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(6,569)</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18,196 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receivables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13,412 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(7,582)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accounts payable—related party</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(38,875)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(22,192)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liabilities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(8,957)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(5,192)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25,156 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(8,752)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initial public offering (IPO), net of underwriting discount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HMH B.V. voting shares from Principal Stockholders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under exchange agreement with Principal Stockholders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IPO issuance costs </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 net—related party</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revolving credit facilities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revolving credit facilities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on cash and cash equivalents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48,912 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119,705 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38,413 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non-cash financing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IPO cost netted with IPO proceeds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long-term debt, net —related party and related party notes receivable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36700"/>
                <wp:effectExtent l="0" t="0" r="0" b="0"/>
                <wp:wrapNone/>
                <wp:docPr id="8" name="Frame8"/>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CHANGES IN EQUITY (UNAUDITED)</w:t>
      </w:r>
    </w:p>
    <w:tbl>
      <w:tblPr>
        <w:tblW w:w="13421" w:type="dxa"/>
        <w:jc w:val="left"/>
        <w:tblInd w:w="0" w:type="dxa"/>
        <w:tblLayout w:type="fixed"/>
        <w:tblCellMar>
          <w:top w:w="28" w:type="dxa"/>
          <w:left w:w="28" w:type="dxa"/>
          <w:bottom w:w="28" w:type="dxa"/>
          <w:right w:w="28" w:type="dxa"/>
        </w:tblCellMar>
      </w:tblPr>
      <w:tblGrid>
        <w:gridCol w:w="615"/>
        <w:gridCol w:w="277"/>
        <w:gridCol w:w="279"/>
        <w:gridCol w:w="431"/>
        <w:gridCol w:w="215"/>
        <w:gridCol w:w="216"/>
        <w:gridCol w:w="109"/>
        <w:gridCol w:w="109"/>
        <w:gridCol w:w="109"/>
        <w:gridCol w:w="196"/>
        <w:gridCol w:w="421"/>
        <w:gridCol w:w="109"/>
        <w:gridCol w:w="109"/>
        <w:gridCol w:w="109"/>
        <w:gridCol w:w="109"/>
        <w:gridCol w:w="431"/>
        <w:gridCol w:w="215"/>
        <w:gridCol w:w="216"/>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196"/>
        <w:gridCol w:w="571"/>
        <w:gridCol w:w="109"/>
        <w:gridCol w:w="109"/>
        <w:gridCol w:w="109"/>
        <w:gridCol w:w="109"/>
        <w:gridCol w:w="196"/>
        <w:gridCol w:w="646"/>
        <w:gridCol w:w="109"/>
        <w:gridCol w:w="109"/>
        <w:gridCol w:w="109"/>
        <w:gridCol w:w="109"/>
        <w:gridCol w:w="212"/>
        <w:gridCol w:w="796"/>
        <w:gridCol w:w="118"/>
        <w:gridCol w:w="109"/>
        <w:gridCol w:w="109"/>
        <w:gridCol w:w="109"/>
        <w:gridCol w:w="196"/>
        <w:gridCol w:w="736"/>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 held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Retained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0" w:type="dxa"/>
            <w:gridSpan w:val="57"/>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 xml:space="preserve">(in thousands) </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HMH Holding Inc. (Successor)</w:t>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April 1, 2026</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initial public offering, net of offering costs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under exchange agreement with Principal Stockholders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HMH B.V. voting shares from Principal Stockholders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642,112 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IPO related costs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 liability and related deferred tax impact from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subsequent to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as of June 30, 2026</w:t>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12,043 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31,892 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636,138 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846,399 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2026</w:t>
            </w:r>
          </w:p>
        </w:tc>
        <w:tc>
          <w:tcPr>
            <w:tcW w:w="64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4,239 </w:t>
            </w:r>
          </w:p>
        </w:tc>
        <w:tc>
          <w:tcPr>
            <w:tcW w:w="11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83,943 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1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700,452 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prior to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prior to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initial public offering, net of offering costs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under exchange agreement with Principal Stockholders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HMH B.V. voting shares from Principal Stockholders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642,112 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IPO related costs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 liability and related deferred tax impact from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subsequent to the Corporate Reorganization Transactions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as of June 30, 2026</w:t>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12,043 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31,892 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185,133 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636,138 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846,399 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8" w:type="dxa"/>
            <w:gridSpan w:val="45"/>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HMH Holding B.V. (Predecessor)</w:t>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April 1, 2025</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as of June 30, 2025</w:t>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669,347 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64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(18,753)</w:t>
            </w:r>
          </w:p>
        </w:tc>
        <w:tc>
          <w:tcPr>
            <w:tcW w:w="11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38,489 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18"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631,337 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 as of June 30, 2025</w:t>
            </w:r>
          </w:p>
        </w:tc>
        <w:tc>
          <w:tcPr>
            <w:tcW w:w="6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3,611 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669,347 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36700"/>
                <wp:effectExtent l="0" t="0" r="0" b="0"/>
                <wp:wrapNone/>
                <wp:docPr id="9" name="Frame9"/>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 xml:space="preserve">1. Basis of Presentation and Summary of Significant Accounting Policies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Description of Business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HMH Holding Inc. (“HMH,” the “Company,” “we,” “us” or “our”) is a leading global provider of offshore and onshore drilling equipment and services.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were incorporated in the State of Delaware on April 29, 2024 as a holding entity with an intent to complete our initial public offering (“IPO”) and other related transactions in order to carry on business of HMH Holding B.V. ("HMH B.V."). HMH B.V. was operationally established with effect from October 1, 2021, through its acquisition of all shares in the MHWirth business from Akastor ASA and the Subsea Drilling Systems business from Baker Hughes Company. After these transactions, the shareholders of HMH B.V. were Baker Hughes Holdings LLC (50%), Akastor AS (25%) and Mercury HoldCo Inc. (25%). Baker Hughes Holdings LLC is a wholly owned subsidiary of Baker Hughes Company (together with Baker Hughes Holdings LLC, “Baker Hughes”), and Akastor AS and Mercury HoldCo Inc. are wholly owned subsidiaries of Akastor ASA (together with Akastor AS, Mercury HoldCo AS and Mercury HoldCo Inc., “Akastor”).</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Initial Public Offering</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April 2, 2026, we completed our IPO of our Class A common stock, par value $0.01 per share (“Class A common stock”), and received net proceeds of approximately $197.8 million after deducting the underwriters’ discounts and offering fees of $12.6 million. We also granted the IPO underwriters a 30-day over-allotment option to purchase additional shares of Class A common stock on the same terms. On April 30, 2026, the underwriters partially exercised the option, resulting in additional net proceeds of $12.9 million, after deducting the underwriters’ discounts and offering fees of $0.8 million.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Corporate Reorganization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used approximately $39.5 million of the net proceeds from the IPO as the cash consideration to purchase an aggregate of 2,100,000 voting Class A ordinary shares of HMH B.V., par value $0.01 per share (“B.V. Voting Class A Shares”), and 2,100,000 voting Class B ordinary shares of HMH B.V., par value $0.01 per share (“B.V. Voting Class B Shares” and, together with B.V. Voting Class A Shares, the “B.V. Voting Shares”), from Baker Hughes and Akastor (collectively referred to as the “Principal Stockholders”).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April 2, 2026, we contributed all of the remaining net proceeds from the IPO to HMH B.V. in exchange for a number of B.V. Voting Class A Shares and B.V. Voting Class B Shares such that the number of B.V. Voting Class A Shares and B.V. Voting Class B Shares, respectively, held by the Company, taking into account the B.V. Voting Class A Shares and B.V. Voting Class B Shares acquired by the Company from the Principal Stockholders, equals the number of shares of Class A common stock sold by us in the IPO.</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May 5, 2026, we contributed all of the net proceeds from the underwriters’ exercise of the over-allotment option to HMH B.V. in exchange for an additional 685,844 B.V. Voting Class A Shares and 685,844 B.V. Voting Class B Shares. HMH B.V. used such additional net proceeds to purchase in equal proportion from Baker Hughes and Akastor, respectively, an aggregate number of shares of the Company’s Class B common stock, par value $0.01 per share (“Class B common stock”), non-voting Class A ordinary shares of HMH B.V. (“B.V. Non-Voting Class A Shares”) and non-voting Class B ordinary shares of HMH B.V. (“B.V. Non-Voting Class B Shares” and, together with the B.V. Non-Voting Class A Shares, the “B.V. Non-Voting Shares”), respectively, equal to the number of shares of the Company’s Class A common stock purchased by the underwriters pursuant to the exercise of the option.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After giving effect to these transactions, including the shares of the Company’s Class A common stock issuable upon the consummation of the IPO pursuant to equity awards granted to employees that vested in connection with the IPO, Baker Hughes and Akastor each owned 15,945,826 shares of the Company’s Class B common stock, collectively representing approximately 73% of the total voting power of our capital stock, and each owned 15,945,826 non-voting Class A ordinary shares of HMH B.V. and 15,945,826 non-voting Class B ordinary shares of HMH B.V., collectively representing approximately a 73% equity interest in HMH B.V. and 0% voting power of the equity in HMH B.V. Immediately following the underwriters’ exercise of the over-allotment option, the investors in the IPO, collectively, owned all of the shares of the Company’s Class A common stock, representing approximately 27% of the total voting power of our capital stock.</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condensed consolidated financial statements of the Company have been prepared in accordance with generally accepted accounting principles in the United States of America (“GAAP”) and pursuant to the rules and regulations of the Securities and Exchange Commission (“SEC”). These statements, therefore, should be read in conjunction with the consolidated financial statements and related notes of HMH B.V. for the year ended December 31, 2025 included in the final prospectus of HMH Holding dated March 31, 2026 and filed with the SEC on April 1, 2026.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included in this Quarterly Report on Form 10-Q reflect all normal and recurring adjustments which, in the opinion of management, are necessary for a fair presentation of our consolidated financial position as of June 30, 2026 and December 31, 2025 and the consolidated results of operations and cash flows for the three and six months ended June 30, 2026 and 2025. The unaudited results of operations for the interim periods reported are not necessarily indicative of results to be expected for the full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36700"/>
                <wp:effectExtent l="0" t="0" r="0" b="0"/>
                <wp:wrapNone/>
                <wp:docPr id="10" name="Frame10"/>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Immediately following the closing of the IPO, we are the successor to HMH B.V. for financial reporting purposes. Subsequent to the IPO, the Company’s sole material asset is its equity interest in HMH B.V. As the sole managing member and holder of 100% of the voting interest of HMH B.V., we operate and control all of its business and affairs and therefore consolidate its results for financial reporting purposes. The reorganization transactions are accounted for as a reorganization of entities under common control. Accordingly, the condensed consolidated financial statements have been retrospectively presented to reflect the assets and liabilities received in the Corporate Reorganization at HMH B.V.'s historical carrying amounts, as if the common control transaction had occurred on January 1, 2025, the earliest period presented.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Certain amounts in prior periods have been reclassified to conform with current period presentation.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preparation of financial statements in conformity with GAAP requires management to make judgments, estimates and assumptions that affect the application of policies and reported amounts of assets and liabilities, income and expenses. Although management believes these assumptions to be reasonable, given historical experience, actual amounts and results could differ from these estimates. Estimates are used for, but are not limited to, determining the following: allowance for credit losses and inventory valuation reserves; recoverability of long-lived assets; revenue recognition on long-term contracts; valuation of goodwill; useful lives used in depreciation and amortization; income taxes and related valuation allowances; accruals for contingencies; actuarial assumptions to determine costs and liabilities related to employee benefit plans; stock-based compensation expense; valuation of derivatives; and the fair value of assets acquired and liabilities assumed in business combinations.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estimates and underlying assumptions are reviewed on an ongoing basis. Revisions to accounting estimates are recognized in the period in which the estimate is revised and in any future periods affected.</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Offering Costs</w:t>
      </w:r>
    </w:p>
    <w:p>
      <w:pPr>
        <w:pStyle w:val="TextBody"/>
        <w:bidi w:val="0"/>
        <w:spacing w:lineRule="auto" w:line="288" w:before="160" w:after="160"/>
        <w:jc w:val="both"/>
        <w:rPr/>
      </w:pPr>
      <w:r>
        <w:rPr>
          <w:rFonts w:ascii="Times New Roman;serif" w:hAnsi="Times New Roman;serif"/>
          <w:b w:val="false"/>
          <w:color w:val="000000"/>
          <w:sz w:val="18"/>
        </w:rPr>
        <w:t xml:space="preserve">In connection with our IPO, HMH B.V. and its affiliates incurred accounting, legal and other costs, which were reimbursed by us. Such costs were recorded as a reduction to equity against the proceeds from the IPO. Deferred offering costs of $21.3 million and $26.2 million were recognized in </w:t>
      </w:r>
      <w:r>
        <w:rPr>
          <w:rFonts w:ascii="Times New Roman;serif" w:hAnsi="Times New Roman;serif"/>
          <w:b w:val="false"/>
          <w:i/>
          <w:color w:val="000000"/>
          <w:sz w:val="18"/>
        </w:rPr>
        <w:t>Prepaids and other current</w:t>
      </w:r>
      <w:r>
        <w:rPr>
          <w:color w:val="000000"/>
        </w:rPr>
        <w:t xml:space="preserve"> </w:t>
      </w:r>
      <w:r>
        <w:rPr>
          <w:rFonts w:ascii="Times New Roman;serif" w:hAnsi="Times New Roman;serif"/>
          <w:b w:val="false"/>
          <w:i/>
          <w:color w:val="000000"/>
          <w:sz w:val="18"/>
        </w:rPr>
        <w:t xml:space="preserve">assets </w:t>
      </w:r>
      <w:r>
        <w:rPr>
          <w:rFonts w:ascii="Times New Roman;serif" w:hAnsi="Times New Roman;serif"/>
          <w:b w:val="false"/>
          <w:color w:val="000000"/>
          <w:sz w:val="18"/>
        </w:rPr>
        <w:t xml:space="preserve">in our </w:t>
      </w:r>
      <w:r>
        <w:rPr>
          <w:rFonts w:ascii="Times New Roman;serif" w:hAnsi="Times New Roman;serif"/>
          <w:b w:val="false"/>
          <w:i/>
          <w:color w:val="000000"/>
          <w:sz w:val="18"/>
        </w:rPr>
        <w:t>Condensed Consolidated Balance Sheets</w:t>
      </w:r>
      <w:r>
        <w:rPr>
          <w:color w:val="000000"/>
        </w:rPr>
        <w:t xml:space="preserve"> </w:t>
      </w:r>
      <w:r>
        <w:rPr>
          <w:rFonts w:ascii="Times New Roman;serif" w:hAnsi="Times New Roman;serif"/>
          <w:b w:val="false"/>
          <w:color w:val="000000"/>
          <w:sz w:val="18"/>
        </w:rPr>
        <w:t xml:space="preserve">as of December 31, 2025 and at the IPO date of April 2, 2026, respectively.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160" w:after="160"/>
        <w:jc w:val="both"/>
        <w:rPr/>
      </w:pPr>
      <w:r>
        <w:rPr>
          <w:rFonts w:ascii="Times New Roman;serif" w:hAnsi="Times New Roman;serif"/>
          <w:b w:val="false"/>
          <w:color w:val="000000"/>
          <w:sz w:val="18"/>
        </w:rPr>
        <w:t xml:space="preserve">We account for share-based compensation awards granted to employees, directors, and non-employees in accordance with </w:t>
      </w:r>
      <w:r>
        <w:rPr>
          <w:rFonts w:ascii="Times New Roman;serif" w:hAnsi="Times New Roman;serif"/>
          <w:b w:val="false"/>
          <w:i/>
          <w:color w:val="000000"/>
          <w:sz w:val="18"/>
        </w:rPr>
        <w:t>ASC 718, Compensation—Stock Compensation</w:t>
      </w:r>
      <w:r>
        <w:rPr>
          <w:color w:val="000000"/>
        </w:rPr>
        <w:t xml:space="preserve"> </w:t>
      </w:r>
      <w:r>
        <w:rPr>
          <w:rFonts w:ascii="Times New Roman;serif" w:hAnsi="Times New Roman;serif"/>
          <w:b w:val="false"/>
          <w:color w:val="000000"/>
          <w:sz w:val="18"/>
        </w:rPr>
        <w:t xml:space="preserve">based on the estimated grant date fair value and recognize the expense over the requisite service period, net of actual forfeitures. The fair value of restricted stock awards and restricted stock units (“RSUs”) is determined based on the closing price of our common stock on the date of grant and the fair value of performance share units (“PSUs”) is measured using a Monte Carlo simulation model. </w:t>
      </w:r>
    </w:p>
    <w:p>
      <w:pPr>
        <w:pStyle w:val="TextBody"/>
        <w:bidi w:val="0"/>
        <w:spacing w:lineRule="auto" w:line="288" w:before="160" w:after="160"/>
        <w:jc w:val="both"/>
        <w:rPr/>
      </w:pPr>
      <w:r>
        <w:rPr>
          <w:rFonts w:ascii="Times New Roman;serif" w:hAnsi="Times New Roman;serif"/>
          <w:b w:val="false"/>
          <w:color w:val="000000"/>
          <w:sz w:val="18"/>
        </w:rPr>
        <w:t>The fair value of RSUs and PSUs granted prior to the IPO was determined with the assistance of independent third-party valuations. These awards were contingent upon a liquidity event, which is defined as an IPO or a change of control (each as defined in the applicable award agreement) of the Company and the completion of a service period. The performance condition related to these awards was met upon the commencement of trading of our Class A common stock on The Nasdaq Global Select Market. For the three and six months ended June 30, 2026, we recognized share-based compensation of $22.8 million, including $22.5 million related to pre-IPO share-based awards</w:t>
      </w:r>
      <w:r>
        <w:rPr>
          <w:rFonts w:ascii="Times New Roman;serif" w:hAnsi="Times New Roman;serif"/>
          <w:b w:val="false"/>
          <w:i/>
          <w:color w:val="000000"/>
          <w:sz w:val="18"/>
        </w:rPr>
        <w:t>.</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Concentration Risk</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months ended June 30, 2026, two customers accounted for approximately 11.7% and 10.6% of total revenue compared to two customers accounting for approximately 14.1% and 11.7% during the three months ended June 30, 2025. During the six months ended June 30, 2026, two customers accounting for approximately 12.1% and 11.0% of total revenue compared to two customers accounted for 14.2% and 10.3% during the six months ended June 30, 2025. The revenue associated with these customers was included in both Equipment and System Solutions (“ESS”) and Pressure Control Systems (“PCS”) revenue.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two customers accounted for approximately 19.4% and 10.2% of current accounts receivable. As of December 31, 2025, one customer accounted for approximately 11.2% of current accounts receivable. The Company expects to maintain its relationship with these customers. </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New Accounting Standards to be Adopted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As an emerging growth company (“EGC”), the Jumpstart Our Business Startups Act (the “JOBS Act”) allows the Company to delay adoption of new or revised accounting pronouncements applicable to public companies until such pronouncements are made applicable to private companies. The JOBS Act does not preclude an EGC from early adopting new or revised accounting standards codification. The Company has elected to use extended transition periods permissible under the JOBS Act, while also early adopting certain accounting pronouncements. The adoption dates discussed below reflect these elections.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36700"/>
                <wp:effectExtent l="0" t="0" r="0" b="0"/>
                <wp:wrapNone/>
                <wp:docPr id="11" name="Frame11"/>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2023, the Financial Accounting Standards Board (“FASB”) issued Accounting Standards Update (“ASU”) 2023-09, “Income Taxes (Topic 740): Improvements to Income Tax Disclosures” (“ASU 2023-09”), which is intended to enhance the transparency and decision usefulness of income tax disclosures. The amendments in ASU 2023-09 provide for enhanced income tax information primarily through changes to the rate reconciliation and income taxes paid information. ASU 2023-09 is effective for the Company prospectively for all annual periods beginning after December 15, 2025. The Company is currently evaluating the impact of this standard on its disclosures.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“Intangibles—Goodwill and Other—Internal-Use Software (Subtopic 350-40): Targeted Improvements to the Accounting for Internal-Use Software” (“ASU 2025-06”). Under the new guidance, internal-use software costs are capitalized when management has authorized and committed to funding the project and it is probable that the software will be completed and used for its intended function. ASU 2025-06 is effective for the Company for annual reporting periods beginning after December 15, 2027, and interim periods within those annual periods. Early adoption is permitted. The Company is currently evaluating the impact of adopting the new ASU on its consolidated financial statements and related disclosures.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In November 2025, the FASB issued ASU 2025-09, “Hedge Accounting Improvements” (“ASU 2025-09”). The new guidance provides targeted improvements to the hedge accounting guidance to primarily address cash flow hedging, but also impact certain fair value and net investment hedges, including (i) permitting designation of variable price components of forecasted purchases or sales of nonfinancial assets when clearly and closely related to the underlying asset, (ii) allowing groups of forecasted transactions with similar risk exposures (including those based on different interest rate indexes) to be hedged together, and (iii) introducing a model for cash flow hedges of forecasted interest payments on “choose-your-rate” debt instruments that permits a borrower to change the designated interest rate index and/or tenor without automatically discontinuing hedge accounting. ASU 2025-09 is effective for the Company for annual reporting periods beginning after December 15, 2027, and interim periods within those annual periods. Early adoption is permitted. The Company is currently evaluating the impact of adopting ASU 2025-09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Business Combinations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October 1, 2025, Hydril PCB Limited completed the acquisition of Deep Blue Oil &amp; Gas Limited (“Deep Blue”), a UK</w:t>
        <w:noBreakHyphen/>
        <w:t>based company specializing in managed</w:t>
        <w:noBreakHyphen/>
        <w:t>pressure</w:t>
        <w:noBreakHyphen/>
        <w:t>drilling (“MPD”) systems. Deep Blue holds a portfolio of patents and proprietary technology with applications in offshore drilling, including advanced MPD control and sealing systems. The Company accounted for the transaction as a business combination and allocated the total purchase price to assets acquired, liabilities and contingent consideration assumed based on their fair values at the date of acquisition.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provides the allocation of the purchase price to major classes of assets and liabilities assumed in USD as of the acquisition date, translated at the exchange rate on the acquisition date. The goodwill reflected below increased by £0.6 million ($0.8 million) from December 31, 2025, which resulted from working capital measurement period adjustments. </w:t>
      </w:r>
    </w:p>
    <w:tbl>
      <w:tblPr>
        <w:tblW w:w="10136" w:type="dxa"/>
        <w:jc w:val="left"/>
        <w:tblInd w:w="0" w:type="dxa"/>
        <w:tblLayout w:type="fixed"/>
        <w:tblCellMar>
          <w:top w:w="28" w:type="dxa"/>
          <w:left w:w="28" w:type="dxa"/>
          <w:bottom w:w="28" w:type="dxa"/>
          <w:right w:w="28" w:type="dxa"/>
        </w:tblCellMar>
      </w:tblPr>
      <w:tblGrid>
        <w:gridCol w:w="1618"/>
        <w:gridCol w:w="1421"/>
        <w:gridCol w:w="1430"/>
        <w:gridCol w:w="109"/>
        <w:gridCol w:w="109"/>
        <w:gridCol w:w="109"/>
        <w:gridCol w:w="374"/>
        <w:gridCol w:w="720"/>
        <w:gridCol w:w="211"/>
        <w:gridCol w:w="109"/>
        <w:gridCol w:w="109"/>
        <w:gridCol w:w="109"/>
        <w:gridCol w:w="884"/>
        <w:gridCol w:w="884"/>
        <w:gridCol w:w="887"/>
        <w:gridCol w:w="109"/>
        <w:gridCol w:w="109"/>
        <w:gridCol w:w="109"/>
        <w:gridCol w:w="196"/>
        <w:gridCol w:w="37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British pounds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rate 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USD</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consideration paid, including £0.2 million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1.3446 </w:t>
            </w:r>
          </w:p>
        </w:tc>
        <w:tc>
          <w:tcPr>
            <w:tcW w:w="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1.3446 </w:t>
            </w:r>
          </w:p>
        </w:tc>
        <w:tc>
          <w:tcPr>
            <w:tcW w:w="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Identified intangible assets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1.3446 </w:t>
            </w:r>
          </w:p>
        </w:tc>
        <w:tc>
          <w:tcPr>
            <w:tcW w:w="8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both"/>
        <w:rPr>
          <w:rFonts w:ascii="Times New Roman;serif" w:hAnsi="Times New Roman;serif"/>
          <w:b w:val="false"/>
          <w:i/>
          <w:color w:val="000000"/>
          <w:sz w:val="15"/>
        </w:rPr>
      </w:pPr>
      <w:r>
        <w:rPr>
          <w:rFonts w:ascii="Times New Roman;serif" w:hAnsi="Times New Roman;serif"/>
          <w:b w:val="false"/>
          <w:i/>
          <w:color w:val="000000"/>
          <w:sz w:val="15"/>
        </w:rPr>
        <w:t>(a).The contingent consideration consists of deferred payments by the Company to the acquiree’s prior equity holders for three years, contingent on meeting specific earnings and operational targets.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36700"/>
                <wp:effectExtent l="0" t="0" r="0" b="0"/>
                <wp:wrapNone/>
                <wp:docPr id="12" name="Frame12"/>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Inventories, net of reserves of $96.1 million and $99.9 million as of June 30, 2026 and December 31, 2025, respectively, consisted of the following: </w:t>
      </w:r>
    </w:p>
    <w:tbl>
      <w:tblPr>
        <w:tblW w:w="4667" w:type="dxa"/>
        <w:jc w:val="left"/>
        <w:tblInd w:w="0" w:type="dxa"/>
        <w:tblLayout w:type="fixed"/>
        <w:tblCellMar>
          <w:top w:w="28" w:type="dxa"/>
          <w:left w:w="28" w:type="dxa"/>
          <w:bottom w:w="28" w:type="dxa"/>
          <w:right w:w="28" w:type="dxa"/>
        </w:tblCellMar>
      </w:tblPr>
      <w:tblGrid>
        <w:gridCol w:w="619"/>
        <w:gridCol w:w="544"/>
        <w:gridCol w:w="546"/>
        <w:gridCol w:w="196"/>
        <w:gridCol w:w="736"/>
        <w:gridCol w:w="109"/>
        <w:gridCol w:w="109"/>
        <w:gridCol w:w="109"/>
        <w:gridCol w:w="109"/>
        <w:gridCol w:w="287"/>
        <w:gridCol w:w="1078"/>
        <w:gridCol w:w="225"/>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of raw materials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progress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205,812 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 net</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252,192 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253,759 </w:t>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Inventory write-downs for the three and six months ended June 30, 2026 were $1.6 million and $2.0 million, respectively, compared to $1.1 million and $3.0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18"/>
        </w:rPr>
        <w:t xml:space="preserve">4. </w:t>
      </w:r>
      <w:r>
        <w:rPr>
          <w:rFonts w:ascii="Times New Roman;serif" w:hAnsi="Times New Roman;serif"/>
          <w:b/>
          <w:color w:val="000000"/>
          <w:sz w:val="20"/>
        </w:rPr>
        <w:t>Goodwill</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changes in carrying value of goodwill are detailed by segment below: </w:t>
      </w:r>
    </w:p>
    <w:tbl>
      <w:tblPr>
        <w:tblW w:w="7587" w:type="dxa"/>
        <w:jc w:val="left"/>
        <w:tblInd w:w="0" w:type="dxa"/>
        <w:tblLayout w:type="fixed"/>
        <w:tblCellMar>
          <w:top w:w="28" w:type="dxa"/>
          <w:left w:w="28" w:type="dxa"/>
          <w:bottom w:w="28" w:type="dxa"/>
          <w:right w:w="28" w:type="dxa"/>
        </w:tblCellMar>
      </w:tblPr>
      <w:tblGrid>
        <w:gridCol w:w="1362"/>
        <w:gridCol w:w="1199"/>
        <w:gridCol w:w="1204"/>
        <w:gridCol w:w="196"/>
        <w:gridCol w:w="736"/>
        <w:gridCol w:w="109"/>
        <w:gridCol w:w="109"/>
        <w:gridCol w:w="109"/>
        <w:gridCol w:w="109"/>
        <w:gridCol w:w="196"/>
        <w:gridCol w:w="736"/>
        <w:gridCol w:w="109"/>
        <w:gridCol w:w="109"/>
        <w:gridCol w:w="109"/>
        <w:gridCol w:w="109"/>
        <w:gridCol w:w="196"/>
        <w:gridCol w:w="73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and purchase accounting adjustments</w:t>
            </w:r>
            <w:r>
              <w:rPr>
                <w:rFonts w:ascii="Times New Roman;serif" w:hAnsi="Times New Roman;serif"/>
                <w:b w:val="false"/>
                <w:color w:val="000000"/>
                <w:sz w:val="12"/>
              </w:rPr>
              <w:t>(a)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188,728 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307,954 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450"/>
        <w:jc w:val="both"/>
        <w:rPr>
          <w:rFonts w:ascii="Times New Roman;serif" w:hAnsi="Times New Roman;serif"/>
          <w:b w:val="false"/>
          <w:i/>
          <w:color w:val="000000"/>
          <w:sz w:val="15"/>
        </w:rPr>
      </w:pPr>
      <w:r>
        <w:rPr>
          <w:rFonts w:ascii="Times New Roman;serif" w:hAnsi="Times New Roman;serif"/>
          <w:b w:val="false"/>
          <w:i/>
          <w:color w:val="000000"/>
          <w:sz w:val="15"/>
        </w:rPr>
        <w:t xml:space="preserve">(a).ESS segment includes purchase price adjustment of $0.8 million, related to working capital measurement period adjustments for Deep Blue acquisition. See Note 2—“Business Combinations”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36700"/>
                <wp:effectExtent l="0" t="0" r="0" b="0"/>
                <wp:wrapNone/>
                <wp:docPr id="13" name="Frame13"/>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5. Financial Instruments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the Company’s financial instruments that are measured at fair value on a recurring basis by level within the fair value hierarchy: </w:t>
      </w:r>
    </w:p>
    <w:tbl>
      <w:tblPr>
        <w:tblW w:w="9968" w:type="dxa"/>
        <w:jc w:val="left"/>
        <w:tblInd w:w="0" w:type="dxa"/>
        <w:tblLayout w:type="fixed"/>
        <w:tblCellMar>
          <w:top w:w="28" w:type="dxa"/>
          <w:left w:w="28" w:type="dxa"/>
          <w:bottom w:w="28" w:type="dxa"/>
          <w:right w:w="28" w:type="dxa"/>
        </w:tblCellMar>
      </w:tblPr>
      <w:tblGrid>
        <w:gridCol w:w="2067"/>
        <w:gridCol w:w="1820"/>
        <w:gridCol w:w="1827"/>
        <w:gridCol w:w="196"/>
        <w:gridCol w:w="406"/>
        <w:gridCol w:w="109"/>
        <w:gridCol w:w="109"/>
        <w:gridCol w:w="109"/>
        <w:gridCol w:w="109"/>
        <w:gridCol w:w="196"/>
        <w:gridCol w:w="556"/>
        <w:gridCol w:w="109"/>
        <w:gridCol w:w="109"/>
        <w:gridCol w:w="109"/>
        <w:gridCol w:w="109"/>
        <w:gridCol w:w="219"/>
        <w:gridCol w:w="454"/>
        <w:gridCol w:w="122"/>
        <w:gridCol w:w="109"/>
        <w:gridCol w:w="109"/>
        <w:gridCol w:w="109"/>
        <w:gridCol w:w="196"/>
        <w:gridCol w:w="556"/>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Level 3</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4"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543" w:type="dxa"/>
            <w:gridSpan w:val="18"/>
            <w:tcBorders/>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instruments—designated as cash flow hedging instruments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instruments—not designated as hedging instruments</w:t>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450"/>
        <w:jc w:val="left"/>
        <w:rPr/>
      </w:pPr>
      <w:r>
        <w:rPr>
          <w:rFonts w:ascii="Times New Roman;serif" w:hAnsi="Times New Roman;serif"/>
          <w:b w:val="false"/>
          <w:i/>
          <w:color w:val="000000"/>
          <w:sz w:val="16"/>
        </w:rPr>
        <w:t>(a).</w:t>
      </w:r>
      <w:r>
        <w:rPr>
          <w:rFonts w:ascii="Times New Roman;serif" w:hAnsi="Times New Roman;serif"/>
          <w:b w:val="false"/>
          <w:i/>
          <w:color w:val="000000"/>
          <w:sz w:val="15"/>
        </w:rPr>
        <w:t xml:space="preserve">The fair value (Level 3) of the seller’s receivable against Akastor AS on proceeds from the sales or liquidation of Step Oiltools B.V. has been remeasured to zero as of June 30, 2026 and December 31, 2025. </w:t>
      </w:r>
    </w:p>
    <w:p>
      <w:pPr>
        <w:pStyle w:val="TextBody"/>
        <w:bidi w:val="0"/>
        <w:spacing w:lineRule="auto" w:line="288" w:before="160" w:after="160"/>
        <w:jc w:val="both"/>
        <w:rPr/>
      </w:pPr>
      <w:r>
        <w:rPr>
          <w:rFonts w:ascii="Times New Roman;serif" w:hAnsi="Times New Roman;serif"/>
          <w:b w:val="false"/>
          <w:color w:val="000000"/>
          <w:sz w:val="18"/>
        </w:rPr>
        <w:t xml:space="preserve">We classify financial instruments in our </w:t>
      </w:r>
      <w:r>
        <w:rPr>
          <w:rFonts w:ascii="Times New Roman;serif" w:hAnsi="Times New Roman;serif"/>
          <w:b w:val="false"/>
          <w:i/>
          <w:color w:val="000000"/>
          <w:sz w:val="18"/>
        </w:rPr>
        <w:t>Condensed Consolidated Balance Sheets</w:t>
      </w:r>
      <w:r>
        <w:rPr>
          <w:color w:val="000000"/>
        </w:rPr>
        <w:t xml:space="preserve"> </w:t>
      </w:r>
      <w:r>
        <w:rPr>
          <w:rFonts w:ascii="Times New Roman;serif" w:hAnsi="Times New Roman;serif"/>
          <w:b w:val="false"/>
          <w:color w:val="000000"/>
          <w:sz w:val="18"/>
        </w:rPr>
        <w:t xml:space="preserve">based on the maturity date of these instruments. As of June 30, 2026 and December 31, 2025, the fair value of our financial instruments are presented in </w:t>
      </w:r>
      <w:r>
        <w:rPr>
          <w:rFonts w:ascii="Times New Roman;serif" w:hAnsi="Times New Roman;serif"/>
          <w:b w:val="false"/>
          <w:i/>
          <w:color w:val="000000"/>
          <w:sz w:val="18"/>
        </w:rPr>
        <w:t>Other current receivables</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i/>
          <w:color w:val="000000"/>
          <w:sz w:val="18"/>
        </w:rPr>
        <w:t xml:space="preserve">Other current liabilities </w:t>
      </w:r>
      <w:r>
        <w:rPr>
          <w:rFonts w:ascii="Times New Roman;serif" w:hAnsi="Times New Roman;serif"/>
          <w:b w:val="false"/>
          <w:color w:val="000000"/>
          <w:sz w:val="18"/>
        </w:rPr>
        <w:t xml:space="preserve">in our </w:t>
      </w:r>
      <w:r>
        <w:rPr>
          <w:rFonts w:ascii="Times New Roman;serif" w:hAnsi="Times New Roman;serif"/>
          <w:b w:val="false"/>
          <w:i/>
          <w:color w:val="000000"/>
          <w:sz w:val="18"/>
        </w:rPr>
        <w:t>Condensed</w:t>
      </w:r>
      <w:r>
        <w:rPr>
          <w:color w:val="000000"/>
        </w:rPr>
        <w:t xml:space="preserve"> </w:t>
      </w:r>
      <w:r>
        <w:rPr>
          <w:rFonts w:ascii="Times New Roman;serif" w:hAnsi="Times New Roman;serif"/>
          <w:b w:val="false"/>
          <w:i/>
          <w:color w:val="000000"/>
          <w:sz w:val="18"/>
        </w:rPr>
        <w:t>Consolidated Balance Sheets</w:t>
      </w:r>
      <w:r>
        <w:rPr>
          <w:rFonts w:ascii="Times New Roman;serif" w:hAnsi="Times New Roman;serif"/>
          <w:b w:val="false"/>
          <w:color w:val="000000"/>
          <w:sz w:val="18"/>
        </w:rPr>
        <w:t>.</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carrying value of cash and cash equivalents, current receivables, accounts payable and accrued expenses approximates fair value based on the short-term nature of these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36700"/>
                <wp:effectExtent l="0" t="0" r="0" b="0"/>
                <wp:wrapNone/>
                <wp:docPr id="14" name="Frame14"/>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Designated Hedges</w:t>
      </w:r>
    </w:p>
    <w:p>
      <w:pPr>
        <w:pStyle w:val="TextBody"/>
        <w:bidi w:val="0"/>
        <w:spacing w:lineRule="auto" w:line="288" w:before="0" w:after="160"/>
        <w:jc w:val="left"/>
        <w:rPr/>
      </w:pPr>
      <w:r>
        <w:rPr>
          <w:rFonts w:ascii="Times New Roman;serif" w:hAnsi="Times New Roman;serif"/>
          <w:b w:val="false"/>
          <w:color w:val="000000"/>
          <w:sz w:val="18"/>
        </w:rPr>
        <w:t>The following table presents the fair value of the derivative financial instruments and a maturity analysis of the derivatives</w:t>
      </w:r>
      <w:r>
        <w:rPr>
          <w:color w:val="000000"/>
        </w:rPr>
        <w:t xml:space="preserve">’ </w:t>
      </w:r>
      <w:r>
        <w:rPr>
          <w:rFonts w:ascii="Times New Roman;serif" w:hAnsi="Times New Roman;serif"/>
          <w:b w:val="false"/>
          <w:color w:val="000000"/>
          <w:sz w:val="18"/>
        </w:rPr>
        <w:t xml:space="preserve">cash flows. Valuation techniques and inputs for forward contracts are based on the quoted forward exchange rate. </w:t>
      </w:r>
    </w:p>
    <w:tbl>
      <w:tblPr>
        <w:tblW w:w="10205" w:type="dxa"/>
        <w:jc w:val="left"/>
        <w:tblInd w:w="0" w:type="dxa"/>
        <w:tblLayout w:type="fixed"/>
        <w:tblCellMar>
          <w:top w:w="28" w:type="dxa"/>
          <w:left w:w="28" w:type="dxa"/>
          <w:bottom w:w="28" w:type="dxa"/>
          <w:right w:w="28" w:type="dxa"/>
        </w:tblCellMar>
      </w:tblPr>
      <w:tblGrid>
        <w:gridCol w:w="2004"/>
        <w:gridCol w:w="1691"/>
        <w:gridCol w:w="1697"/>
        <w:gridCol w:w="109"/>
        <w:gridCol w:w="109"/>
        <w:gridCol w:w="109"/>
        <w:gridCol w:w="226"/>
        <w:gridCol w:w="646"/>
        <w:gridCol w:w="109"/>
        <w:gridCol w:w="109"/>
        <w:gridCol w:w="109"/>
        <w:gridCol w:w="109"/>
        <w:gridCol w:w="226"/>
        <w:gridCol w:w="646"/>
        <w:gridCol w:w="109"/>
        <w:gridCol w:w="109"/>
        <w:gridCol w:w="109"/>
        <w:gridCol w:w="109"/>
        <w:gridCol w:w="226"/>
        <w:gridCol w:w="421"/>
        <w:gridCol w:w="109"/>
        <w:gridCol w:w="109"/>
        <w:gridCol w:w="109"/>
        <w:gridCol w:w="109"/>
        <w:gridCol w:w="226"/>
        <w:gridCol w:w="406"/>
        <w:gridCol w:w="155"/>
      </w:tblGrid>
      <w:tr>
        <w:trPr/>
        <w:tc>
          <w:tcPr>
            <w:tcW w:w="200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 months</w:t>
              <w:br/>
              <w:t>and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6-12</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w:t>
              <w:br/>
              <w:t>years</w:t>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 forward contracts to hedge highly probable forecasted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 forward contracts to hedge highly probable forecasted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 forward contracts to hedge highly probable forecasted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(USD/NOK)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 forward contracts to hedge highly probable forecasted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i/>
          <w:color w:val="000000"/>
          <w:sz w:val="18"/>
        </w:rPr>
      </w:pPr>
      <w:r>
        <w:rPr>
          <w:rFonts w:ascii="Times New Roman;serif" w:hAnsi="Times New Roman;serif"/>
          <w:b/>
          <w:i/>
          <w:color w:val="000000"/>
          <w:sz w:val="18"/>
        </w:rPr>
        <w:t>Non-Designated Hedges</w:t>
      </w:r>
    </w:p>
    <w:p>
      <w:pPr>
        <w:pStyle w:val="TextBody"/>
        <w:bidi w:val="0"/>
        <w:spacing w:lineRule="auto" w:line="288" w:before="160" w:after="140"/>
        <w:jc w:val="left"/>
        <w:rPr/>
      </w:pPr>
      <w:r>
        <w:rPr>
          <w:rFonts w:ascii="Times New Roman;serif" w:hAnsi="Times New Roman;serif"/>
          <w:b w:val="false"/>
          <w:color w:val="000000"/>
          <w:sz w:val="18"/>
        </w:rPr>
        <w:t>The table below presents the notional value of the non-designated derivative financial instruments and a maturity analysis of the related derivatives</w:t>
      </w:r>
      <w:r>
        <w:rPr>
          <w:color w:val="000000"/>
        </w:rPr>
        <w:t xml:space="preserve">’ </w:t>
      </w:r>
      <w:r>
        <w:rPr>
          <w:rFonts w:ascii="Times New Roman;serif" w:hAnsi="Times New Roman;serif"/>
          <w:b w:val="false"/>
          <w:color w:val="000000"/>
          <w:sz w:val="18"/>
        </w:rPr>
        <w:t>cash flows. Valuation techniques and inputs for forward contracts are based on the quoted forward exchange rate.</w:t>
      </w:r>
    </w:p>
    <w:tbl>
      <w:tblPr>
        <w:tblW w:w="9446"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511"/>
        <w:gridCol w:w="736"/>
        <w:gridCol w:w="109"/>
        <w:gridCol w:w="109"/>
        <w:gridCol w:w="109"/>
        <w:gridCol w:w="109"/>
        <w:gridCol w:w="511"/>
        <w:gridCol w:w="646"/>
        <w:gridCol w:w="109"/>
        <w:gridCol w:w="109"/>
        <w:gridCol w:w="109"/>
        <w:gridCol w:w="109"/>
        <w:gridCol w:w="511"/>
        <w:gridCol w:w="646"/>
        <w:gridCol w:w="109"/>
        <w:gridCol w:w="109"/>
        <w:gridCol w:w="109"/>
        <w:gridCol w:w="109"/>
        <w:gridCol w:w="511"/>
        <w:gridCol w:w="646"/>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 months</w:t>
              <w:br/>
              <w:t>and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6-12</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w:t>
              <w:br/>
              <w:t>years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(NOK/USD)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NOK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NOK</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(NOK/USD)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(GBP/USD)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amounts 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forward rate (EUR/USD)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For the three and six months ended June 30, 2026, we recorded a (gain) loss of nil and $1.5 million, respectively, related to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36700"/>
                <wp:effectExtent l="0" t="0" r="0" b="0"/>
                <wp:wrapNone/>
                <wp:docPr id="15" name="Frame15"/>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both"/>
        <w:rPr/>
      </w:pPr>
      <w:r>
        <w:rPr>
          <w:rFonts w:ascii="Times New Roman;serif" w:hAnsi="Times New Roman;serif"/>
          <w:b w:val="false"/>
          <w:color w:val="000000"/>
          <w:sz w:val="18"/>
        </w:rPr>
        <w:t xml:space="preserve">designated hedges in </w:t>
      </w:r>
      <w:r>
        <w:rPr>
          <w:rFonts w:ascii="Times New Roman;serif" w:hAnsi="Times New Roman;serif"/>
          <w:b w:val="false"/>
          <w:i/>
          <w:color w:val="000000"/>
          <w:sz w:val="18"/>
        </w:rPr>
        <w:t>Other non-operating income (loss), net i</w:t>
      </w:r>
      <w:r>
        <w:rPr>
          <w:rFonts w:ascii="Times New Roman;serif" w:hAnsi="Times New Roman;serif"/>
          <w:b w:val="false"/>
          <w:color w:val="000000"/>
          <w:sz w:val="18"/>
        </w:rPr>
        <w:t xml:space="preserve">n our </w:t>
      </w:r>
      <w:r>
        <w:rPr>
          <w:rFonts w:ascii="Times New Roman;serif" w:hAnsi="Times New Roman;serif"/>
          <w:b w:val="false"/>
          <w:i/>
          <w:color w:val="000000"/>
          <w:sz w:val="18"/>
        </w:rPr>
        <w:t>Condensed Consolidated Statements of Income</w:t>
      </w:r>
      <w:r>
        <w:rPr>
          <w:rFonts w:ascii="Times New Roman;serif" w:hAnsi="Times New Roman;serif"/>
          <w:b w:val="false"/>
          <w:color w:val="000000"/>
          <w:sz w:val="18"/>
        </w:rPr>
        <w:t>. The Company did not have any open non-designated hedges during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6. Other Current Liabilities</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consisted of the following: </w:t>
      </w:r>
    </w:p>
    <w:tbl>
      <w:tblPr>
        <w:tblW w:w="5627" w:type="dxa"/>
        <w:jc w:val="left"/>
        <w:tblInd w:w="0" w:type="dxa"/>
        <w:tblLayout w:type="fixed"/>
        <w:tblCellMar>
          <w:top w:w="28" w:type="dxa"/>
          <w:left w:w="28" w:type="dxa"/>
          <w:bottom w:w="28" w:type="dxa"/>
          <w:right w:w="28" w:type="dxa"/>
        </w:tblCellMar>
      </w:tblPr>
      <w:tblGrid>
        <w:gridCol w:w="998"/>
        <w:gridCol w:w="877"/>
        <w:gridCol w:w="885"/>
        <w:gridCol w:w="196"/>
        <w:gridCol w:w="646"/>
        <w:gridCol w:w="109"/>
        <w:gridCol w:w="109"/>
        <w:gridCol w:w="109"/>
        <w:gridCol w:w="109"/>
        <w:gridCol w:w="313"/>
        <w:gridCol w:w="1031"/>
        <w:gridCol w:w="245"/>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duties and taxes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derivative financial liabilities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Withheld taxes and other deductions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current liabilities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35,582 </w:t>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160"/>
        <w:jc w:val="left"/>
        <w:rPr/>
      </w:pPr>
      <w:r>
        <w:rPr>
          <w:rFonts w:ascii="Times New Roman;serif" w:hAnsi="Times New Roman;serif"/>
          <w:b w:val="false"/>
          <w:color w:val="000000"/>
          <w:sz w:val="18"/>
        </w:rPr>
        <w:t xml:space="preserve">The following table sets forth supplemental </w:t>
      </w:r>
      <w:r>
        <w:rPr>
          <w:rFonts w:ascii="Times New Roman;serif" w:hAnsi="Times New Roman;serif"/>
          <w:b w:val="false"/>
          <w:i/>
          <w:color w:val="000000"/>
          <w:sz w:val="18"/>
        </w:rPr>
        <w:t>Condensed Consolidated Balance Sheets</w:t>
      </w:r>
      <w:r>
        <w:rPr>
          <w:color w:val="000000"/>
        </w:rPr>
        <w:t xml:space="preserve"> </w:t>
      </w:r>
      <w:r>
        <w:rPr>
          <w:rFonts w:ascii="Times New Roman;serif" w:hAnsi="Times New Roman;serif"/>
          <w:b w:val="false"/>
          <w:color w:val="000000"/>
          <w:sz w:val="18"/>
        </w:rPr>
        <w:t xml:space="preserve">information related to leases: </w:t>
      </w:r>
    </w:p>
    <w:tbl>
      <w:tblPr>
        <w:tblW w:w="6852" w:type="dxa"/>
        <w:jc w:val="left"/>
        <w:tblInd w:w="0" w:type="dxa"/>
        <w:tblLayout w:type="fixed"/>
        <w:tblCellMar>
          <w:top w:w="28" w:type="dxa"/>
          <w:left w:w="28" w:type="dxa"/>
          <w:bottom w:w="28" w:type="dxa"/>
          <w:right w:w="28" w:type="dxa"/>
        </w:tblCellMar>
      </w:tblPr>
      <w:tblGrid>
        <w:gridCol w:w="607"/>
        <w:gridCol w:w="535"/>
        <w:gridCol w:w="537"/>
        <w:gridCol w:w="659"/>
        <w:gridCol w:w="659"/>
        <w:gridCol w:w="661"/>
        <w:gridCol w:w="109"/>
        <w:gridCol w:w="109"/>
        <w:gridCol w:w="109"/>
        <w:gridCol w:w="196"/>
        <w:gridCol w:w="646"/>
        <w:gridCol w:w="109"/>
        <w:gridCol w:w="109"/>
        <w:gridCol w:w="109"/>
        <w:gridCol w:w="109"/>
        <w:gridCol w:w="313"/>
        <w:gridCol w:w="1031"/>
        <w:gridCol w:w="24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48,739 </w:t>
            </w:r>
          </w:p>
        </w:tc>
        <w:tc>
          <w:tcPr>
            <w:tcW w:w="24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lease assets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48,739 </w:t>
            </w:r>
          </w:p>
        </w:tc>
        <w:tc>
          <w:tcPr>
            <w:tcW w:w="24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w:t>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10,470 </w:t>
            </w:r>
          </w:p>
        </w:tc>
        <w:tc>
          <w:tcPr>
            <w:tcW w:w="24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Noncurrent: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w:t>
            </w:r>
          </w:p>
        </w:tc>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39,922 </w:t>
            </w:r>
          </w:p>
        </w:tc>
        <w:tc>
          <w:tcPr>
            <w:tcW w:w="24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47,187 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50,392 </w:t>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18"/>
        </w:rPr>
        <w:t xml:space="preserve">For the three and six months ended June 30, 2026, we recognized operating lease cost of $2.7 million and $5.5 million, respectively, and $2.7 million and $5.5 million for the three and six months ended June 30, 2025, respectively, in our </w:t>
      </w:r>
      <w:r>
        <w:rPr>
          <w:rFonts w:ascii="Times New Roman;serif" w:hAnsi="Times New Roman;serif"/>
          <w:b w:val="false"/>
          <w:i/>
          <w:color w:val="000000"/>
          <w:sz w:val="18"/>
        </w:rPr>
        <w:t>Condensed Consolidated Statements of Income</w:t>
      </w:r>
      <w:r>
        <w:rPr>
          <w:rFonts w:ascii="Times New Roman;serif" w:hAnsi="Times New Roman;serif"/>
          <w:b w:val="false"/>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140"/>
        <w:jc w:val="both"/>
        <w:rPr>
          <w:rFonts w:ascii="Times New Roman;serif" w:hAnsi="Times New Roman;serif"/>
          <w:b w:val="false"/>
          <w:color w:val="000000"/>
          <w:sz w:val="18"/>
        </w:rPr>
      </w:pPr>
      <w:r>
        <w:rPr>
          <w:rFonts w:ascii="Times New Roman;serif" w:hAnsi="Times New Roman;serif"/>
          <w:b w:val="false"/>
          <w:color w:val="000000"/>
          <w:sz w:val="18"/>
        </w:rPr>
        <w:t xml:space="preserve">Below are the contractual terms of the Company’s interest-bearing loans and borrowings that are measured at amortized cost. The carrying values of the Company’s short-term and long-term debt consisted of the following: </w:t>
      </w:r>
    </w:p>
    <w:tbl>
      <w:tblPr>
        <w:tblW w:w="7140" w:type="dxa"/>
        <w:jc w:val="left"/>
        <w:tblInd w:w="0" w:type="dxa"/>
        <w:tblLayout w:type="fixed"/>
        <w:tblCellMar>
          <w:top w:w="28" w:type="dxa"/>
          <w:left w:w="28" w:type="dxa"/>
          <w:bottom w:w="28" w:type="dxa"/>
          <w:right w:w="28" w:type="dxa"/>
        </w:tblCellMar>
      </w:tblPr>
      <w:tblGrid>
        <w:gridCol w:w="1109"/>
        <w:gridCol w:w="972"/>
        <w:gridCol w:w="978"/>
        <w:gridCol w:w="196"/>
        <w:gridCol w:w="736"/>
        <w:gridCol w:w="109"/>
        <w:gridCol w:w="109"/>
        <w:gridCol w:w="109"/>
        <w:gridCol w:w="109"/>
        <w:gridCol w:w="291"/>
        <w:gridCol w:w="1093"/>
        <w:gridCol w:w="161"/>
        <w:gridCol w:w="109"/>
        <w:gridCol w:w="109"/>
        <w:gridCol w:w="109"/>
        <w:gridCol w:w="246"/>
        <w:gridCol w:w="246"/>
        <w:gridCol w:w="349"/>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12"/>
            <w:tcBorders/>
            <w:tcMar>
              <w:top w:w="0" w:type="dxa"/>
              <w:left w:w="0" w:type="dxa"/>
              <w:bottom w:w="0" w:type="dxa"/>
              <w:right w:w="0" w:type="dxa"/>
            </w:tcMar>
            <w:vAlign w:val="center"/>
          </w:tcPr>
          <w:p>
            <w:pPr>
              <w:pStyle w:val="TableContents"/>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(in thousands)</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 xml:space="preserve">7.875% Senior Secured Bonds due 2028 </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195,636 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Dec 2028</w:t>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 Loans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143,732 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Dec 2028</w:t>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Line in China (a)</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197,836 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340,083 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 net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debt, net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339,368 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debt, net</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197,836 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340,083 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i/>
          <w:color w:val="000000"/>
          <w:sz w:val="18"/>
        </w:rPr>
      </w:pPr>
      <w:r>
        <w:rPr>
          <w:rFonts w:ascii="Times New Roman;serif" w:hAnsi="Times New Roman;serif"/>
          <w:b w:val="false"/>
          <w:i/>
          <w:color w:val="000000"/>
          <w:sz w:val="18"/>
        </w:rPr>
        <w:t xml:space="preserve">(a).Expired on March 26, 2026, with the Company retaining a one-year period from each respective withdrawal date to remit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6700"/>
                <wp:effectExtent l="0" t="0" r="0" b="0"/>
                <wp:wrapNone/>
                <wp:docPr id="16" name="Frame16"/>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Fair Values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the fair value of the 7.875% Senior Secured Bonds due 2028 was $205.0 million and $204.5 million, respectively. The fair value was determined using a market approach based on observable inputs. For the remaining debt instruments, the book values of each instrument approximate its respective carrying amount, as these interest rates are variable in nature and are reflective of market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9. Revenue from Contracts with Customers</w:t>
      </w:r>
    </w:p>
    <w:p>
      <w:pPr>
        <w:pStyle w:val="TextBody"/>
        <w:bidi w:val="0"/>
        <w:spacing w:lineRule="auto" w:line="288" w:before="0" w:after="160"/>
        <w:jc w:val="left"/>
        <w:rPr>
          <w:rFonts w:ascii="Times New Roman;serif" w:hAnsi="Times New Roman;serif"/>
          <w:b/>
          <w:color w:val="000000"/>
          <w:sz w:val="18"/>
        </w:rPr>
      </w:pPr>
      <w:r>
        <w:rPr>
          <w:rFonts w:ascii="Times New Roman;serif" w:hAnsi="Times New Roman;serif"/>
          <w:b/>
          <w:color w:val="000000"/>
          <w:sz w:val="18"/>
        </w:rPr>
        <w:t xml:space="preserve">Disaggregated Revenue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 Company disaggregates revenue from contracts with customers by revenue type for both its ESS and PCS segments, as it believes this best depicts how the nature, amount, timing and uncertainty of its revenue and cash flows are affected by economic factors.</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tables present revenue from contracts with customers: </w:t>
      </w:r>
    </w:p>
    <w:tbl>
      <w:tblPr>
        <w:tblW w:w="10205" w:type="dxa"/>
        <w:jc w:val="left"/>
        <w:tblInd w:w="0" w:type="dxa"/>
        <w:tblLayout w:type="fixed"/>
        <w:tblCellMar>
          <w:top w:w="28" w:type="dxa"/>
          <w:left w:w="28" w:type="dxa"/>
          <w:bottom w:w="28" w:type="dxa"/>
          <w:right w:w="28" w:type="dxa"/>
        </w:tblCellMar>
      </w:tblPr>
      <w:tblGrid>
        <w:gridCol w:w="1039"/>
        <w:gridCol w:w="617"/>
        <w:gridCol w:w="62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03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Project and other manufacturing contracts revenue</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33,139 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products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Product revenue</w:t>
            </w:r>
            <w:r>
              <w:rPr>
                <w:rFonts w:ascii="Times New Roman;serif" w:hAnsi="Times New Roman;serif"/>
                <w:b w:val="false"/>
                <w:color w:val="000000"/>
                <w:sz w:val="12"/>
              </w:rPr>
              <w:t>(a)</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58,974 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92,332 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52,151 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125,547 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w:t>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Project and other manufacturing contracts revenue</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57,756 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products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Product revenue</w:t>
            </w:r>
            <w:r>
              <w:rPr>
                <w:rFonts w:ascii="Times New Roman;serif" w:hAnsi="Times New Roman;serif"/>
                <w:b w:val="false"/>
                <w:color w:val="000000"/>
                <w:sz w:val="12"/>
              </w:rPr>
              <w:t>(a)</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53,380 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113,722 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175,840 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112,325 </w:t>
            </w:r>
          </w:p>
        </w:tc>
        <w:tc>
          <w:tcPr>
            <w:tcW w:w="156"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198,350 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143,793 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342,143 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233,088 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168,799 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401,887 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left"/>
        <w:rPr>
          <w:rFonts w:ascii="Times New Roman;serif" w:hAnsi="Times New Roman;serif"/>
          <w:b w:val="false"/>
          <w:i/>
          <w:color w:val="000000"/>
          <w:sz w:val="15"/>
        </w:rPr>
      </w:pPr>
      <w:r>
        <w:rPr>
          <w:rFonts w:ascii="Times New Roman;serif" w:hAnsi="Times New Roman;serif"/>
          <w:b w:val="false"/>
          <w:i/>
          <w:color w:val="000000"/>
          <w:sz w:val="15"/>
        </w:rPr>
        <w:t>(a).Product revenue includes related party revenue.</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timing of revenue recognition: </w:t>
      </w:r>
    </w:p>
    <w:tbl>
      <w:tblPr>
        <w:tblW w:w="10205" w:type="dxa"/>
        <w:jc w:val="left"/>
        <w:tblInd w:w="0" w:type="dxa"/>
        <w:tblLayout w:type="fixed"/>
        <w:tblCellMar>
          <w:top w:w="28" w:type="dxa"/>
          <w:left w:w="28" w:type="dxa"/>
          <w:bottom w:w="28" w:type="dxa"/>
          <w:right w:w="28" w:type="dxa"/>
        </w:tblCellMar>
      </w:tblPr>
      <w:tblGrid>
        <w:gridCol w:w="855"/>
        <w:gridCol w:w="710"/>
        <w:gridCol w:w="71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8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278"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overtime</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128,987 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at point in time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74,470 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125,547 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77,910 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overtime</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249,526 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at point in time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152,361 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198,350 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143,793 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342,143 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233,088 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168,799 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401,887 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6700"/>
                <wp:effectExtent l="0" t="0" r="0" b="0"/>
                <wp:wrapNone/>
                <wp:docPr id="17" name="Frame17"/>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Contract assets consisted of the following: </w:t>
      </w:r>
    </w:p>
    <w:tbl>
      <w:tblPr>
        <w:tblW w:w="3673" w:type="dxa"/>
        <w:jc w:val="left"/>
        <w:tblInd w:w="0" w:type="dxa"/>
        <w:tblLayout w:type="fixed"/>
        <w:tblCellMar>
          <w:top w:w="28" w:type="dxa"/>
          <w:left w:w="28" w:type="dxa"/>
          <w:bottom w:w="28" w:type="dxa"/>
          <w:right w:w="28" w:type="dxa"/>
        </w:tblCellMar>
      </w:tblPr>
      <w:tblGrid>
        <w:gridCol w:w="868"/>
        <w:gridCol w:w="764"/>
        <w:gridCol w:w="767"/>
        <w:gridCol w:w="230"/>
        <w:gridCol w:w="864"/>
        <w:gridCol w:w="180"/>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23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114,918 </w:t>
            </w:r>
          </w:p>
        </w:tc>
        <w:tc>
          <w:tcPr>
            <w:tcW w:w="180"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0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140,722 </w:t>
            </w:r>
          </w:p>
        </w:tc>
        <w:tc>
          <w:tcPr>
            <w:tcW w:w="180"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to accounts receivable</w:t>
            </w:r>
          </w:p>
        </w:tc>
        <w:tc>
          <w:tcPr>
            <w:tcW w:w="10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(151,018)</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104,622 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Contract liabilities consisted of the following: </w:t>
      </w:r>
    </w:p>
    <w:tbl>
      <w:tblPr>
        <w:tblW w:w="3674" w:type="dxa"/>
        <w:jc w:val="left"/>
        <w:tblInd w:w="0" w:type="dxa"/>
        <w:tblLayout w:type="fixed"/>
        <w:tblCellMar>
          <w:top w:w="28" w:type="dxa"/>
          <w:left w:w="28" w:type="dxa"/>
          <w:bottom w:w="28" w:type="dxa"/>
          <w:right w:w="28" w:type="dxa"/>
        </w:tblCellMar>
      </w:tblPr>
      <w:tblGrid>
        <w:gridCol w:w="868"/>
        <w:gridCol w:w="764"/>
        <w:gridCol w:w="767"/>
        <w:gridCol w:w="251"/>
        <w:gridCol w:w="827"/>
        <w:gridCol w:w="197"/>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25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35,249 </w:t>
            </w:r>
          </w:p>
        </w:tc>
        <w:tc>
          <w:tcPr>
            <w:tcW w:w="19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10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88,333 </w:t>
            </w:r>
          </w:p>
        </w:tc>
        <w:tc>
          <w:tcPr>
            <w:tcW w:w="19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0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(80,802)</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42,780 </w:t>
            </w:r>
          </w:p>
        </w:tc>
        <w:tc>
          <w:tcPr>
            <w:tcW w:w="1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Revenue recognized during the six months ended June 30, 2026 and 2025 that was included in the contract liabilities balance at the beginning of such periods was $20.9 million and $33.7 million, respectively.</w:t>
      </w:r>
    </w:p>
    <w:p>
      <w:pPr>
        <w:pStyle w:val="TextBody"/>
        <w:bidi w:val="0"/>
        <w:spacing w:lineRule="auto" w:line="288" w:before="0" w:after="160"/>
        <w:jc w:val="left"/>
        <w:rPr>
          <w:rFonts w:ascii="Times New Roman;serif" w:hAnsi="Times New Roman;serif"/>
          <w:b/>
          <w:color w:val="000000"/>
          <w:sz w:val="18"/>
        </w:rPr>
      </w:pPr>
      <w:r>
        <w:rPr>
          <w:rFonts w:ascii="Times New Roman;serif" w:hAnsi="Times New Roman;serif"/>
          <w:b/>
          <w:color w:val="000000"/>
          <w:sz w:val="18"/>
        </w:rPr>
        <w:t xml:space="preserve">Transaction Price Allocated to the Remaining Performance Obligations </w:t>
      </w:r>
    </w:p>
    <w:p>
      <w:pPr>
        <w:pStyle w:val="TextBody"/>
        <w:bidi w:val="0"/>
        <w:spacing w:lineRule="auto" w:line="288" w:before="0" w:after="32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aggregate amount of the transaction price allocated to the unsatisfied or partially unsatisfied performance obligations was $414.4 million. As of June 30, 2026, the Company expected to recognize substantially all of the revenue from the total remaining performance obligations over the next 12 months. Contract modifications could affect both the timing to complete as well as the amount to be received as the Company fulfills the related remaining performance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10. Accrued Expenses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consisted of the following: </w:t>
      </w:r>
    </w:p>
    <w:tbl>
      <w:tblPr>
        <w:tblW w:w="6440" w:type="dxa"/>
        <w:jc w:val="left"/>
        <w:tblInd w:w="0" w:type="dxa"/>
        <w:tblLayout w:type="fixed"/>
        <w:tblCellMar>
          <w:top w:w="28" w:type="dxa"/>
          <w:left w:w="28" w:type="dxa"/>
          <w:bottom w:w="28" w:type="dxa"/>
          <w:right w:w="28" w:type="dxa"/>
        </w:tblCellMar>
      </w:tblPr>
      <w:tblGrid>
        <w:gridCol w:w="124"/>
        <w:gridCol w:w="1148"/>
        <w:gridCol w:w="1148"/>
        <w:gridCol w:w="1153"/>
        <w:gridCol w:w="196"/>
        <w:gridCol w:w="646"/>
        <w:gridCol w:w="109"/>
        <w:gridCol w:w="109"/>
        <w:gridCol w:w="109"/>
        <w:gridCol w:w="109"/>
        <w:gridCol w:w="313"/>
        <w:gridCol w:w="1031"/>
        <w:gridCol w:w="245"/>
      </w:tblGrid>
      <w:tr>
        <w:trPr/>
        <w:tc>
          <w:tcPr>
            <w:tcW w:w="12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related liabilities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38,119 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vendor costs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38,049 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Provisions—warranty</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Provisions—restructuring</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Provisions—environmental</w:t>
            </w:r>
            <w:r>
              <w:rPr>
                <w:rFonts w:ascii="Times New Roman;serif" w:hAnsi="Times New Roman;serif"/>
                <w:b w:val="false"/>
                <w:color w:val="000000"/>
                <w:sz w:val="12"/>
              </w:rPr>
              <w:t>(a)</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for loss contingencies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and other taxes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0" w:hanging="200"/>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Accrued expenses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84,964 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95,780 </w:t>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450"/>
        <w:jc w:val="both"/>
        <w:rPr>
          <w:rFonts w:ascii="Times New Roman;serif" w:hAnsi="Times New Roman;serif"/>
          <w:b w:val="false"/>
          <w:i/>
          <w:color w:val="000000"/>
          <w:sz w:val="15"/>
        </w:rPr>
      </w:pPr>
      <w:r>
        <w:rPr>
          <w:rFonts w:ascii="Times New Roman;serif" w:hAnsi="Times New Roman;serif"/>
          <w:b w:val="false"/>
          <w:i/>
          <w:color w:val="000000"/>
          <w:sz w:val="15"/>
        </w:rPr>
        <w:t xml:space="preserve">(a).Costs of future estimated expenditures for environmental remediation liabilities are not discounted to their present value due to the timing of the future expenditures not being reliably determinable. The environmental remediation liability is related to two plants.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describes the changes to the Company’s warranty liability: </w:t>
      </w:r>
    </w:p>
    <w:tbl>
      <w:tblPr>
        <w:tblW w:w="4206" w:type="dxa"/>
        <w:jc w:val="left"/>
        <w:tblInd w:w="0" w:type="dxa"/>
        <w:tblLayout w:type="fixed"/>
        <w:tblCellMar>
          <w:top w:w="28" w:type="dxa"/>
          <w:left w:w="28" w:type="dxa"/>
          <w:bottom w:w="28" w:type="dxa"/>
          <w:right w:w="28" w:type="dxa"/>
        </w:tblCellMar>
      </w:tblPr>
      <w:tblGrid>
        <w:gridCol w:w="982"/>
        <w:gridCol w:w="864"/>
        <w:gridCol w:w="868"/>
        <w:gridCol w:w="280"/>
        <w:gridCol w:w="794"/>
        <w:gridCol w:w="155"/>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28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w:t>
            </w:r>
          </w:p>
        </w:tc>
        <w:tc>
          <w:tcPr>
            <w:tcW w:w="10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0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reversed during the period</w:t>
            </w:r>
          </w:p>
        </w:tc>
        <w:tc>
          <w:tcPr>
            <w:tcW w:w="10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differences</w:t>
            </w:r>
          </w:p>
        </w:tc>
        <w:tc>
          <w:tcPr>
            <w:tcW w:w="107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2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5,813 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6700"/>
                <wp:effectExtent l="0" t="0" r="0" b="0"/>
                <wp:wrapNone/>
                <wp:docPr id="18" name="Frame18"/>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18"/>
        </w:rPr>
        <w:t xml:space="preserve">We recognized warranty expense of $0.4 million and $0.8 million for the three and six months ended June 30, 2026, respectively, and $0.4 million and $2.7 million for the three and six months ended June 30, 2025, respectively. These expenses were recorded in our </w:t>
      </w:r>
      <w:r>
        <w:rPr>
          <w:rFonts w:ascii="Times New Roman;serif" w:hAnsi="Times New Roman;serif"/>
          <w:b w:val="false"/>
          <w:i/>
          <w:color w:val="000000"/>
          <w:sz w:val="18"/>
        </w:rPr>
        <w:t>Condensed Consolidated Statements of Income</w:t>
      </w:r>
      <w:r>
        <w:rPr>
          <w:color w:val="000000"/>
        </w:rPr>
        <w:t xml:space="preserve"> </w:t>
      </w:r>
      <w:r>
        <w:rPr>
          <w:rFonts w:ascii="Times New Roman;serif" w:hAnsi="Times New Roman;serif"/>
          <w:b w:val="false"/>
          <w:color w:val="000000"/>
          <w:sz w:val="18"/>
        </w:rPr>
        <w:t xml:space="preserve">within </w:t>
      </w:r>
      <w:r>
        <w:rPr>
          <w:rFonts w:ascii="Times New Roman;serif" w:hAnsi="Times New Roman;serif"/>
          <w:b w:val="false"/>
          <w:i/>
          <w:color w:val="000000"/>
          <w:sz w:val="18"/>
        </w:rPr>
        <w:t>Total cost of sales</w:t>
      </w:r>
      <w:r>
        <w:rPr>
          <w:rFonts w:ascii="Times New Roman;serif" w:hAnsi="Times New Roman;serif"/>
          <w:b w:val="false"/>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11. Other Liabilities</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consisted of the following:</w:t>
      </w:r>
    </w:p>
    <w:tbl>
      <w:tblPr>
        <w:tblW w:w="6212" w:type="dxa"/>
        <w:jc w:val="left"/>
        <w:tblInd w:w="0" w:type="dxa"/>
        <w:tblLayout w:type="fixed"/>
        <w:tblCellMar>
          <w:top w:w="28" w:type="dxa"/>
          <w:left w:w="28" w:type="dxa"/>
          <w:bottom w:w="28" w:type="dxa"/>
          <w:right w:w="28" w:type="dxa"/>
        </w:tblCellMar>
      </w:tblPr>
      <w:tblGrid>
        <w:gridCol w:w="1211"/>
        <w:gridCol w:w="1065"/>
        <w:gridCol w:w="1069"/>
        <w:gridCol w:w="196"/>
        <w:gridCol w:w="646"/>
        <w:gridCol w:w="109"/>
        <w:gridCol w:w="109"/>
        <w:gridCol w:w="109"/>
        <w:gridCol w:w="109"/>
        <w:gridCol w:w="313"/>
        <w:gridCol w:w="1031"/>
        <w:gridCol w:w="245"/>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Pension and other post—retirement liabilities </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21,142 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considerations—related party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long-term</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long-term liabilities</w:t>
            </w:r>
            <w:r>
              <w:rPr>
                <w:color w:val="000000"/>
              </w:rPr>
              <w:t xml:space="preserve"> </w:t>
            </w:r>
            <w:r>
              <w:rPr>
                <w:rFonts w:ascii="Times New Roman;serif" w:hAnsi="Times New Roman;serif"/>
                <w:b w:val="false"/>
                <w:color w:val="000000"/>
                <w:sz w:val="12"/>
              </w:rPr>
              <w:t>(a)</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6,259 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54,323 </w:t>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450"/>
        <w:jc w:val="left"/>
        <w:rPr>
          <w:rFonts w:ascii="Times New Roman;serif" w:hAnsi="Times New Roman;serif"/>
          <w:b w:val="false"/>
          <w:i/>
          <w:color w:val="000000"/>
          <w:sz w:val="15"/>
        </w:rPr>
      </w:pPr>
      <w:r>
        <w:rPr>
          <w:rFonts w:ascii="Times New Roman;serif" w:hAnsi="Times New Roman;serif"/>
          <w:b w:val="false"/>
          <w:i/>
          <w:color w:val="000000"/>
          <w:sz w:val="15"/>
        </w:rPr>
        <w:t>(a).Other long-term liabilities include $3.7 million of contingent consideration related to the Drillform acquisition,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12. Equity</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Prior to the IPO, the capital structure of HMH B.V. consisted of two different classes of ordinary shares, 100 Class A ordinary shares and 100 Class B ordinary shares at €1.00 par value each. Baker Hughes and Akastor as Principal Stockholders owned all of the equity interests in HMH B.V.</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Amendment and Restatement of Certificate of Incorporation</w:t>
      </w:r>
    </w:p>
    <w:p>
      <w:pPr>
        <w:pStyle w:val="TextBody"/>
        <w:bidi w:val="0"/>
        <w:spacing w:lineRule="auto" w:line="288" w:before="160" w:after="160"/>
        <w:jc w:val="both"/>
        <w:rPr/>
      </w:pPr>
      <w:r>
        <w:rPr>
          <w:rFonts w:ascii="Times New Roman;serif" w:hAnsi="Times New Roman;serif"/>
          <w:b w:val="false"/>
          <w:color w:val="000000"/>
          <w:sz w:val="18"/>
        </w:rPr>
        <w:t>In connection with the reorganization, the certificate of incorporation of HMH was amended and restated, among other things, to provide for the authorization of (i) 1,000,000,000 shares of Class A common stock,</w:t>
      </w:r>
      <w:r>
        <w:rPr>
          <w:color w:val="000000"/>
        </w:rPr>
        <w:t xml:space="preserve"> </w:t>
      </w:r>
      <w:r>
        <w:rPr>
          <w:rFonts w:ascii="Times New Roman;serif" w:hAnsi="Times New Roman;serif"/>
          <w:b w:val="false"/>
          <w:color w:val="000000"/>
          <w:sz w:val="18"/>
        </w:rPr>
        <w:t>(ii) 500,000,000 shares of Class B common stock and (iii) 10,000,000 shares of preferred stock.</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holders of Class A common stock have both voting and economic rights, including rights to dividends and liquidation proceeds. In contrast, holders of Class B common stock have voting rights only and are not entitled to dividends or liquidation distributions. </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Reorganization and Initial Public Offering</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is a summary of the securities reclassified in connection with the reorganization transactions and IPO: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 xml:space="preserve">HMH B.V. underwent a 346,774.96 for 1 stock split, after which Baker Hughes owned 17,338,748 B.V. Voting Class A Shares and 17,338,748 B.V. Voting Class B Shares and Akastor owned 17,338,748 B.V. Voting Class A Shares and 17,338,748 B.V. Voting Class B Shares.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HMH B.V. recapitalized to convert (i) 32,577,496 B.V. Voting Class A Shares to B.V. Non-Voting Class A Shares and (ii) 32,577,496 B.V. Voting Class B Shares to B.V. Non-Voting Class B Shares.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HMH and the Principal Stockholders entered into an exchange agreement under which the Principal Stockholders may, subject to certain limitations, exchange their HMH B.V. non</w:t>
        <w:noBreakHyphen/>
        <w:t>voting Class A and Class B ordinary shares, together with an equivalent number of shares of Class B common stock in HMH, for shares of Class A common stock on a one</w:t>
        <w:noBreakHyphen/>
        <w:t>for</w:t>
        <w:noBreakHyphen/>
        <w:t xml:space="preserve">one basis or, at the Company's election, for cash.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 xml:space="preserve">On April 2, 2026, HMH completed the IPO of 10,520,000 shares of Class A common stock, and received net proceeds of approximately $197.8 million after deducting the underwriters’ discounts and offering fees of $12.6 million. HMH also granted the IPO underwriters a 30-day over-allotment option to purchase additional shares of Class A common stock on the same terms. On April 30, 2026, the underwriters partially exercised the option for 685,844 shares of Class A common stock, resulting in additional net proceeds of $12.9 million, after deducting the underwriters’ discounts and offering fees of $0.8 million.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 xml:space="preserve">HMH used approximately $39.5 million of the net proceeds from the IPO as the cash consideration to purchase an aggregate of 2,100,000 B.V. Voting Class A Shares and 2,100,000 B.V. Voting Class B Shares from the Principal Stockholders,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6700"/>
                <wp:effectExtent l="0" t="0" r="0" b="0"/>
                <wp:wrapNone/>
                <wp:docPr id="19" name="Frame19"/>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Principal Stockholders received 32,577,496 shares of Class B common stock in HMH in exchange for relinquishing voting rights on 32,577,496 of their B.V. Voting Class A Shares and 32,577,496 of their B.V. Voting Class B Shares.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HMH contributed the remaining net proceeds from the IPO to HMH B.V. in exchange for</w:t>
      </w:r>
      <w:r>
        <w:rPr>
          <w:color w:val="000000"/>
        </w:rPr>
        <w:t xml:space="preserve"> </w:t>
      </w:r>
      <w:r>
        <w:rPr>
          <w:rFonts w:ascii="Times New Roman;serif" w:hAnsi="Times New Roman;serif"/>
          <w:b w:val="false"/>
          <w:color w:val="000000"/>
          <w:sz w:val="18"/>
        </w:rPr>
        <w:t>B.V. Voting Shares, consisting of 8,420,000 B.V. Voting Class A Shares and 8,420,000 B.V. Voting Class B Shares, such that, after the exchange, HMH will hold, after taking into account the B.V. Voting Shares acquired from the Principal Stockholders, one B.V. Voting Class A Share and one B.V. Voting Class B Share, respectively, for each share of our Class A common stock outstanding following the IPO and reorganization.</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18"/>
        </w:rPr>
        <w:t xml:space="preserve">On May 5, 2026, HMH contributed all of the net proceeds from the underwriters’ exercise of the over-allotment option of $12.9 million to HMH B.V. in exchange for an additional 685,844 B.V. Voting Class A Shares and 685,844 B.V. Voting Class B Shares. HMH B.V. used such additional net proceeds to purchase in equal proportion from the Principal Stockholders an aggregate number of shares of the Company's Class B common stock, B.V. Non-Voting Class A Shares and B.V. Non-Voting Class B Shares equal to the number of shares of the Company’s Class A common stock repurchased by the underwriters pursuant to the exercise of the option. </w:t>
      </w:r>
    </w:p>
    <w:p>
      <w:pPr>
        <w:pStyle w:val="TextBody"/>
        <w:bidi w:val="0"/>
        <w:spacing w:lineRule="auto" w:line="288" w:before="0" w:after="0"/>
        <w:jc w:val="both"/>
        <w:rPr/>
      </w:pPr>
      <w:r>
        <w:rPr>
          <w:rFonts w:ascii="Times New Roman;serif" w:hAnsi="Times New Roman;serif"/>
          <w:b w:val="false"/>
          <w:color w:val="000000"/>
          <w:sz w:val="18"/>
        </w:rPr>
        <w:t>After giving effect to these transactions, including 836,781 shares of the Company’s Class A common stock issuable upon the consummation of the IPO pursuant to equity awards granted to employees that vested in connection with the IPO, Baker Hughes and Akastor each owned 15,945,826 shares of the Company’s Class B common stock, collectively representing approximately 73% of the total voting power of the Company’s capital stock, and each owned 15,945,826 B.V. Non-Voting Class A Shares</w:t>
      </w:r>
      <w:r>
        <w:rPr>
          <w:color w:val="000000"/>
        </w:rPr>
        <w:t xml:space="preserve"> </w:t>
      </w:r>
      <w:r>
        <w:rPr>
          <w:rFonts w:ascii="Times New Roman;serif" w:hAnsi="Times New Roman;serif"/>
          <w:b w:val="false"/>
          <w:color w:val="000000"/>
          <w:sz w:val="18"/>
        </w:rPr>
        <w:t xml:space="preserve">and 15,945,826 B.V. Non-Voting Class B Shares, collectively representing an approximately 73% equity interest in HMH B.V. and 0% voting power of the equity in HMH B.V. </w:t>
      </w: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0" w:after="160"/>
        <w:jc w:val="both"/>
        <w:rPr/>
      </w:pPr>
      <w:r>
        <w:rPr>
          <w:rFonts w:ascii="Times New Roman;serif" w:hAnsi="Times New Roman;serif"/>
          <w:b w:val="false"/>
          <w:color w:val="000000"/>
          <w:sz w:val="18"/>
        </w:rPr>
        <w:t>Following the reorganization and the IPO, HMH consolidates the full results of HMH B.V. and its subsidiaries. The portion of the net assets and results of HMH B.V. attributable to the economic interests retained by the Principal Stockholders through their B.V. non</w:t>
        <w:noBreakHyphen/>
        <w:t xml:space="preserve">voting shares is presented as non-controlling interest in the Company's consolidated financial statements. Upon the reorganization, the Company recognized a non-controlling interest of approximately $642.1 million, with a corresponding adjustment to the </w:t>
      </w:r>
      <w:r>
        <w:rPr>
          <w:rFonts w:ascii="Times New Roman;serif" w:hAnsi="Times New Roman;serif"/>
          <w:b w:val="false"/>
          <w:i/>
          <w:color w:val="000000"/>
          <w:sz w:val="18"/>
        </w:rPr>
        <w:t>Condensed Consolidated Statements of Changes in Equity</w:t>
      </w:r>
      <w:r>
        <w:rPr>
          <w:rFonts w:ascii="Times New Roman;serif" w:hAnsi="Times New Roman;serif"/>
          <w:b w:val="false"/>
          <w:color w:val="000000"/>
          <w:sz w:val="18"/>
        </w:rPr>
        <w:t>. The non-controlling interest is subsequently adjusted for the Principal Shareholders’ proportionate share of net income and other comprehensive income of HMH B.V. and is reduced as Principal Stockholders exercise their exchange rights, at which point the corresponding economic interest is reclassified from non-controlling interest to equity attributable to HMH Holding Inc.</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the change in ownership of HMH B.V.:</w:t>
      </w:r>
    </w:p>
    <w:tbl>
      <w:tblPr>
        <w:tblW w:w="10205" w:type="dxa"/>
        <w:jc w:val="left"/>
        <w:tblInd w:w="0" w:type="dxa"/>
        <w:tblLayout w:type="fixed"/>
        <w:tblCellMar>
          <w:top w:w="28" w:type="dxa"/>
          <w:left w:w="28" w:type="dxa"/>
          <w:bottom w:w="28" w:type="dxa"/>
          <w:right w:w="28" w:type="dxa"/>
        </w:tblCellMar>
      </w:tblPr>
      <w:tblGrid>
        <w:gridCol w:w="794"/>
        <w:gridCol w:w="339"/>
        <w:gridCol w:w="341"/>
        <w:gridCol w:w="514"/>
        <w:gridCol w:w="455"/>
        <w:gridCol w:w="274"/>
        <w:gridCol w:w="109"/>
        <w:gridCol w:w="109"/>
        <w:gridCol w:w="109"/>
        <w:gridCol w:w="542"/>
        <w:gridCol w:w="471"/>
        <w:gridCol w:w="472"/>
        <w:gridCol w:w="109"/>
        <w:gridCol w:w="109"/>
        <w:gridCol w:w="109"/>
        <w:gridCol w:w="480"/>
        <w:gridCol w:w="481"/>
        <w:gridCol w:w="171"/>
        <w:gridCol w:w="109"/>
        <w:gridCol w:w="109"/>
        <w:gridCol w:w="109"/>
        <w:gridCol w:w="307"/>
        <w:gridCol w:w="188"/>
        <w:gridCol w:w="446"/>
        <w:gridCol w:w="109"/>
        <w:gridCol w:w="109"/>
        <w:gridCol w:w="109"/>
        <w:gridCol w:w="323"/>
        <w:gridCol w:w="323"/>
        <w:gridCol w:w="763"/>
        <w:gridCol w:w="109"/>
        <w:gridCol w:w="109"/>
        <w:gridCol w:w="109"/>
        <w:gridCol w:w="277"/>
        <w:gridCol w:w="279"/>
        <w:gridCol w:w="330"/>
      </w:tblGrid>
      <w:tr>
        <w:trPr/>
        <w:tc>
          <w:tcPr>
            <w:tcW w:w="79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 Percentage</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HMH Holding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Interests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HMH Holding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April 2, 2026</w:t>
            </w:r>
          </w:p>
        </w:tc>
        <w:tc>
          <w:tcPr>
            <w:tcW w:w="96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16,840,000 </w:t>
            </w:r>
          </w:p>
        </w:tc>
        <w:tc>
          <w:tcPr>
            <w:tcW w:w="2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69,354,992 </w:t>
            </w:r>
          </w:p>
        </w:tc>
        <w:tc>
          <w:tcPr>
            <w:tcW w:w="4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86,194,992 </w:t>
            </w:r>
          </w:p>
        </w:tc>
        <w:tc>
          <w:tcPr>
            <w:tcW w:w="1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4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7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HMH B.V. Shares</w:t>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4,200,000 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(4,200,000)</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7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Partial Exercise of Underwriters Purchase Option</w:t>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1,371,688 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(1,371,688)</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7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under the Equity Based Compensation Plan</w:t>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1,673,568 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1,673,568 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7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969"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24,085,256 </w:t>
            </w:r>
          </w:p>
        </w:tc>
        <w:tc>
          <w:tcPr>
            <w:tcW w:w="2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63,783,304 </w:t>
            </w:r>
          </w:p>
        </w:tc>
        <w:tc>
          <w:tcPr>
            <w:tcW w:w="4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87,868,560 </w:t>
            </w:r>
          </w:p>
        </w:tc>
        <w:tc>
          <w:tcPr>
            <w:tcW w:w="1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4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7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63,783,304 total B.V. Non-Voting Class A Shares and B.V. Non-Voting Class B Shares together with 31,891,652 shares of the Company’s Class B common stock could be exchanged for 31,891,652 shares of the Company’s Class A common stock.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0" w:after="160"/>
        <w:jc w:val="left"/>
        <w:rPr/>
      </w:pPr>
      <w:r>
        <w:rPr>
          <w:rFonts w:ascii="Times New Roman;serif" w:hAnsi="Times New Roman;serif"/>
          <w:b w:val="false"/>
          <w:color w:val="000000"/>
          <w:sz w:val="18"/>
          <w:shd w:fill="FFFFFF" w:val="clear"/>
        </w:rPr>
        <w:t>Repurchases of the Company's Class A common stock are included in treasury stock at the cost of shares repurchased.</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36700"/>
                <wp:effectExtent l="0" t="0" r="0" b="0"/>
                <wp:wrapNone/>
                <wp:docPr id="20" name="Frame20"/>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 consisted of the following:</w:t>
      </w:r>
    </w:p>
    <w:tbl>
      <w:tblPr>
        <w:tblW w:w="6017" w:type="dxa"/>
        <w:jc w:val="left"/>
        <w:tblInd w:w="0" w:type="dxa"/>
        <w:tblLayout w:type="fixed"/>
        <w:tblCellMar>
          <w:top w:w="28" w:type="dxa"/>
          <w:left w:w="28" w:type="dxa"/>
          <w:bottom w:w="28" w:type="dxa"/>
          <w:right w:w="28" w:type="dxa"/>
        </w:tblCellMar>
      </w:tblPr>
      <w:tblGrid>
        <w:gridCol w:w="1173"/>
        <w:gridCol w:w="1031"/>
        <w:gridCol w:w="1036"/>
        <w:gridCol w:w="196"/>
        <w:gridCol w:w="556"/>
        <w:gridCol w:w="109"/>
        <w:gridCol w:w="109"/>
        <w:gridCol w:w="109"/>
        <w:gridCol w:w="109"/>
        <w:gridCol w:w="343"/>
        <w:gridCol w:w="976"/>
        <w:gridCol w:w="270"/>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Hedging reserve adjustments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remeasurement reserve adjustments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reserve adjustments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4,239 </w:t>
            </w:r>
          </w:p>
        </w:tc>
        <w:tc>
          <w:tcPr>
            <w:tcW w:w="2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13. Share-based Compensation </w:t>
      </w:r>
    </w:p>
    <w:p>
      <w:pPr>
        <w:pStyle w:val="TextBody"/>
        <w:bidi w:val="0"/>
        <w:spacing w:lineRule="auto" w:line="288" w:before="0" w:after="160"/>
        <w:jc w:val="both"/>
        <w:rPr>
          <w:rFonts w:ascii="Times New Roman;serif" w:hAnsi="Times New Roman;serif"/>
          <w:b/>
          <w:i/>
          <w:color w:val="000000"/>
          <w:sz w:val="18"/>
        </w:rPr>
      </w:pPr>
      <w:r>
        <w:rPr>
          <w:rFonts w:ascii="Times New Roman;serif" w:hAnsi="Times New Roman;serif"/>
          <w:b/>
          <w:i/>
          <w:color w:val="000000"/>
          <w:sz w:val="18"/>
        </w:rPr>
        <w:t>Pre-IPO Plans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Prior to the IPO, the Board of Directors of the Company (the “Board”) established the founders’ phantom equity award, the 2022 long-term incentive program, the 2023 long-term incentive program, the 2024 long-term incentive program and the 2025 long-term incentive program (collectively, the “Pre-IPO Plans”) as award programs for management and certain key personnel to entitle them to compensation when certain strategic goals are met. The 2026 Plan (as defined herein) replaced the Pre-IPO Plans, and no additional awards will be granted under those historical plans. In connection with the closing of the IPO, all outstanding equity awards previously granted under the Pre-IPO Plans were replaced with substantially similar awards under the 2026 Plan (the “Replacement Awards”).</w:t>
      </w:r>
    </w:p>
    <w:p>
      <w:pPr>
        <w:pStyle w:val="TextBody"/>
        <w:bidi w:val="0"/>
        <w:spacing w:lineRule="auto" w:line="288" w:before="0" w:after="160"/>
        <w:jc w:val="both"/>
        <w:rPr>
          <w:rFonts w:ascii="Times New Roman;serif" w:hAnsi="Times New Roman;serif"/>
          <w:b/>
          <w:i/>
          <w:color w:val="000000"/>
          <w:sz w:val="18"/>
        </w:rPr>
      </w:pPr>
      <w:r>
        <w:rPr>
          <w:rFonts w:ascii="Times New Roman;serif" w:hAnsi="Times New Roman;serif"/>
          <w:b/>
          <w:i/>
          <w:color w:val="000000"/>
          <w:sz w:val="18"/>
        </w:rPr>
        <w:t>2026 Long-term Incentive Plan</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On March 31, 2026, the Board approved the HMH Holding Inc. 2026 Long-Term Incentive Plan (the “2026 Plan”), which became effective upon the closing of the IPO. The 2026 Plan authorizes the grant of incentive stock options, RSUs, and other equity-based awards to eligible employees, non-employee directors, and consultants. As of June 30, 2026, the Company has reserved a maximum of 2.2 million shares of Class A common stock for issuance under the 2026 Plan, of which approximately 1.4 million shares are available for issuance of future awards. This share reserve includes an evergreen provision allowing for an annual increase of up to 5% of outstanding shares, effective on the first day of each fiscal year at the discretion of the Board. The Company has reserved an additional 1,500,714 shares of Class A common stock for issuance under the 2026 Plan to be used exclusively to satisfy the obligations under the Replacement Awards. </w:t>
      </w:r>
    </w:p>
    <w:p>
      <w:pPr>
        <w:pStyle w:val="TextBody"/>
        <w:bidi w:val="0"/>
        <w:spacing w:lineRule="auto" w:line="288" w:before="0" w:after="160"/>
        <w:jc w:val="left"/>
        <w:rPr>
          <w:rFonts w:ascii="Times New Roman;serif" w:hAnsi="Times New Roman;serif"/>
          <w:b w:val="false"/>
          <w:i/>
          <w:color w:val="000000"/>
          <w:sz w:val="18"/>
        </w:rPr>
      </w:pPr>
      <w:r>
        <w:rPr>
          <w:rFonts w:ascii="Times New Roman;serif" w:hAnsi="Times New Roman;serif"/>
          <w:b w:val="false"/>
          <w:i/>
          <w:color w:val="000000"/>
          <w:sz w:val="18"/>
        </w:rPr>
        <w:t>Share-based compensation cost</w:t>
      </w:r>
    </w:p>
    <w:p>
      <w:pPr>
        <w:pStyle w:val="TextBody"/>
        <w:bidi w:val="0"/>
        <w:spacing w:lineRule="auto" w:line="288" w:before="0" w:after="160"/>
        <w:jc w:val="both"/>
        <w:rPr/>
      </w:pPr>
      <w:r>
        <w:rPr>
          <w:rFonts w:ascii="Times New Roman;serif" w:hAnsi="Times New Roman;serif"/>
          <w:b w:val="false"/>
          <w:color w:val="000000"/>
          <w:sz w:val="18"/>
        </w:rPr>
        <w:t xml:space="preserve">For the three and six months ended June 30, 2026, the Company recognized total share-based compensation expense of $22.8 million, upon the consummation of the IPO. The Company recorded $22.3 million of this expense within </w:t>
      </w:r>
      <w:r>
        <w:rPr>
          <w:rFonts w:ascii="Times New Roman;serif" w:hAnsi="Times New Roman;serif"/>
          <w:b w:val="false"/>
          <w:i/>
          <w:color w:val="000000"/>
          <w:sz w:val="18"/>
        </w:rPr>
        <w:t>Selling, general, and administrative expenses</w:t>
      </w:r>
      <w:r>
        <w:rPr>
          <w:color w:val="000000"/>
        </w:rPr>
        <w:t xml:space="preserve"> </w:t>
      </w:r>
      <w:r>
        <w:rPr>
          <w:rFonts w:ascii="Times New Roman;serif" w:hAnsi="Times New Roman;serif"/>
          <w:b w:val="false"/>
          <w:color w:val="000000"/>
          <w:sz w:val="18"/>
        </w:rPr>
        <w:t xml:space="preserve">and $0.5 million was recognized within </w:t>
      </w:r>
      <w:r>
        <w:rPr>
          <w:rFonts w:ascii="Times New Roman;serif" w:hAnsi="Times New Roman;serif"/>
          <w:b w:val="false"/>
          <w:i/>
          <w:color w:val="000000"/>
          <w:sz w:val="18"/>
        </w:rPr>
        <w:t xml:space="preserve">Cost of sales </w:t>
      </w:r>
      <w:r>
        <w:rPr>
          <w:rFonts w:ascii="Times New Roman;serif" w:hAnsi="Times New Roman;serif"/>
          <w:b w:val="false"/>
          <w:color w:val="000000"/>
          <w:sz w:val="18"/>
        </w:rPr>
        <w:t>in the</w:t>
      </w:r>
      <w:r>
        <w:rPr>
          <w:color w:val="000000"/>
        </w:rPr>
        <w:t xml:space="preserve"> </w:t>
      </w:r>
      <w:r>
        <w:rPr>
          <w:rFonts w:ascii="Times New Roman;serif" w:hAnsi="Times New Roman;serif"/>
          <w:b w:val="false"/>
          <w:i/>
          <w:color w:val="000000"/>
          <w:sz w:val="18"/>
        </w:rPr>
        <w:t>Condensed Consolidated Statements of Income.</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As of June 30, 2026, there was approximately $18.6 million of total unrecognized compensation cost related to unvested share-based compensation arrangements granted under both the Pre-IPO Plans and the 2026 Plan. This cost is expected to be recognized over a weighted-average period of 2.52 years.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RSUs generally vest over a three-year period, with fair value determined by the closing market price of the Company’s Class A common stock on the date of grant. The following table presents a summary of RSU activity for the six months ended June 30, 2026:</w:t>
      </w:r>
    </w:p>
    <w:tbl>
      <w:tblPr>
        <w:tblW w:w="9159" w:type="dxa"/>
        <w:jc w:val="left"/>
        <w:tblInd w:w="0" w:type="dxa"/>
        <w:tblLayout w:type="fixed"/>
        <w:tblCellMar>
          <w:top w:w="28" w:type="dxa"/>
          <w:left w:w="28" w:type="dxa"/>
          <w:bottom w:w="28" w:type="dxa"/>
          <w:right w:w="28" w:type="dxa"/>
        </w:tblCellMar>
      </w:tblPr>
      <w:tblGrid>
        <w:gridCol w:w="1226"/>
        <w:gridCol w:w="1079"/>
        <w:gridCol w:w="1084"/>
        <w:gridCol w:w="609"/>
        <w:gridCol w:w="609"/>
        <w:gridCol w:w="611"/>
        <w:gridCol w:w="109"/>
        <w:gridCol w:w="109"/>
        <w:gridCol w:w="109"/>
        <w:gridCol w:w="934"/>
        <w:gridCol w:w="1938"/>
        <w:gridCol w:w="742"/>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Price on the Date of Grant</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88" w:before="0" w:after="160"/>
              <w:ind w:left="0" w:right="0" w:hanging="20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21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8"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Converted at IPO</w:t>
            </w:r>
          </w:p>
        </w:tc>
        <w:tc>
          <w:tcPr>
            <w:tcW w:w="12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Post-IPO grant</w:t>
            </w:r>
          </w:p>
        </w:tc>
        <w:tc>
          <w:tcPr>
            <w:tcW w:w="12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 upon the consummation of the IPO (a)</w:t>
            </w:r>
          </w:p>
        </w:tc>
        <w:tc>
          <w:tcPr>
            <w:tcW w:w="12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21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6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rFonts w:ascii="Times New Roman;serif" w:hAnsi="Times New Roman;serif"/>
          <w:b w:val="false"/>
          <w:i/>
          <w:color w:val="000000"/>
          <w:sz w:val="15"/>
        </w:rPr>
      </w:pPr>
      <w:r>
        <w:rPr>
          <w:rFonts w:ascii="Times New Roman;serif" w:hAnsi="Times New Roman;serif"/>
          <w:b w:val="false"/>
          <w:i/>
          <w:color w:val="000000"/>
          <w:sz w:val="15"/>
        </w:rPr>
        <w:t>(a).During the three and six months ended June 30, 2026, the total grant date fair value of restricted stock unit awards that vested was $13.5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536700"/>
                <wp:effectExtent l="0" t="0" r="0" b="0"/>
                <wp:wrapNone/>
                <wp:docPr id="21" name="Frame21"/>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Performance share units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PSUs generally cliff vest three years from the date of grant, with their grant-date fair value measured utilizing a Monte Carlo simulation model. For the 2026 PSU grant, the number of shares of Class A common stock issuable is determined by comparing the Company’s Total Shareholder Return Compound Annual Growth Rate (TSR CAGR) against the TSR CAGR of the peer group over a three-year performance period ending December 31, 2028. Initial payouts range from 0% to 200% of target. The following table presents a summary of PSU activity for the six months ended June 30, 2026:</w:t>
      </w:r>
    </w:p>
    <w:tbl>
      <w:tblPr>
        <w:tblW w:w="9130" w:type="dxa"/>
        <w:jc w:val="left"/>
        <w:tblInd w:w="0" w:type="dxa"/>
        <w:tblLayout w:type="fixed"/>
        <w:tblCellMar>
          <w:top w:w="28" w:type="dxa"/>
          <w:left w:w="28" w:type="dxa"/>
          <w:bottom w:w="28" w:type="dxa"/>
          <w:right w:w="28" w:type="dxa"/>
        </w:tblCellMar>
      </w:tblPr>
      <w:tblGrid>
        <w:gridCol w:w="1140"/>
        <w:gridCol w:w="1003"/>
        <w:gridCol w:w="1007"/>
        <w:gridCol w:w="679"/>
        <w:gridCol w:w="679"/>
        <w:gridCol w:w="681"/>
        <w:gridCol w:w="109"/>
        <w:gridCol w:w="109"/>
        <w:gridCol w:w="109"/>
        <w:gridCol w:w="934"/>
        <w:gridCol w:w="1938"/>
        <w:gridCol w:w="742"/>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Price on the Date of Grant</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0" w:type="dxa"/>
            <w:gridSpan w:val="9"/>
            <w:tcBorders/>
            <w:tcMar>
              <w:top w:w="0" w:type="dxa"/>
              <w:left w:w="0" w:type="dxa"/>
              <w:bottom w:w="0" w:type="dxa"/>
              <w:right w:w="0" w:type="dxa"/>
            </w:tcMar>
            <w:vAlign w:val="center"/>
          </w:tcPr>
          <w:p>
            <w:pPr>
              <w:pStyle w:val="TableContents"/>
              <w:bidi w:val="0"/>
              <w:spacing w:lineRule="auto" w:line="288" w:before="0" w:after="160"/>
              <w:ind w:left="0" w:right="0" w:hanging="20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35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8"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Converted at IPO</w:t>
            </w:r>
          </w:p>
        </w:tc>
        <w:tc>
          <w:tcPr>
            <w:tcW w:w="13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Post-IPO Grant</w:t>
            </w:r>
          </w:p>
        </w:tc>
        <w:tc>
          <w:tcPr>
            <w:tcW w:w="13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27.05 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 upon the consummation of the IPO</w:t>
            </w:r>
          </w:p>
        </w:tc>
        <w:tc>
          <w:tcPr>
            <w:tcW w:w="13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74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35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6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The company estimated the fair value of PSU awards using the following weighted average assumptions:</w:t>
      </w:r>
    </w:p>
    <w:tbl>
      <w:tblPr>
        <w:tblW w:w="4052" w:type="dxa"/>
        <w:jc w:val="left"/>
        <w:tblInd w:w="0" w:type="dxa"/>
        <w:tblLayout w:type="fixed"/>
        <w:tblCellMar>
          <w:top w:w="28" w:type="dxa"/>
          <w:left w:w="28" w:type="dxa"/>
          <w:bottom w:w="28" w:type="dxa"/>
          <w:right w:w="28" w:type="dxa"/>
        </w:tblCellMar>
      </w:tblPr>
      <w:tblGrid>
        <w:gridCol w:w="1084"/>
        <w:gridCol w:w="956"/>
        <w:gridCol w:w="959"/>
        <w:gridCol w:w="196"/>
        <w:gridCol w:w="556"/>
        <w:gridCol w:w="301"/>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free interest rate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price volatility</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Contracted term in years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date price of HMH common stock</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14. Employee Benefit Expenses </w:t>
      </w:r>
    </w:p>
    <w:p>
      <w:pPr>
        <w:pStyle w:val="TextBody"/>
        <w:bidi w:val="0"/>
        <w:spacing w:lineRule="auto" w:line="288" w:before="0" w:after="0"/>
        <w:jc w:val="both"/>
        <w:rPr/>
      </w:pPr>
      <w:r>
        <w:rPr>
          <w:rFonts w:ascii="Times New Roman;serif" w:hAnsi="Times New Roman;serif"/>
          <w:b w:val="false"/>
          <w:color w:val="000000"/>
          <w:sz w:val="18"/>
        </w:rPr>
        <w:t xml:space="preserve">The components of net periodic cost recognized in </w:t>
      </w:r>
      <w:r>
        <w:rPr>
          <w:rFonts w:ascii="Times New Roman;serif" w:hAnsi="Times New Roman;serif"/>
          <w:b w:val="false"/>
          <w:i/>
          <w:color w:val="000000"/>
          <w:sz w:val="18"/>
        </w:rPr>
        <w:t>Selling, general and administrative expenses</w:t>
      </w:r>
      <w:r>
        <w:rPr>
          <w:color w:val="000000"/>
        </w:rPr>
        <w:t xml:space="preserve"> </w:t>
      </w:r>
      <w:r>
        <w:rPr>
          <w:rFonts w:ascii="Times New Roman;serif" w:hAnsi="Times New Roman;serif"/>
          <w:b w:val="false"/>
          <w:color w:val="000000"/>
          <w:sz w:val="18"/>
        </w:rPr>
        <w:t xml:space="preserve">in our </w:t>
      </w:r>
      <w:r>
        <w:rPr>
          <w:rFonts w:ascii="Times New Roman;serif" w:hAnsi="Times New Roman;serif"/>
          <w:b w:val="false"/>
          <w:i/>
          <w:color w:val="000000"/>
          <w:sz w:val="18"/>
        </w:rPr>
        <w:t>Condensed Consolidated Statements of Income</w:t>
      </w:r>
      <w:r>
        <w:rPr>
          <w:color w:val="000000"/>
        </w:rPr>
        <w:t xml:space="preserve"> </w:t>
      </w:r>
      <w:r>
        <w:rPr>
          <w:rFonts w:ascii="Times New Roman;serif" w:hAnsi="Times New Roman;serif"/>
          <w:b w:val="false"/>
          <w:color w:val="000000"/>
          <w:sz w:val="18"/>
        </w:rPr>
        <w:t xml:space="preserve">consisted of the following: </w:t>
      </w:r>
    </w:p>
    <w:tbl>
      <w:tblPr>
        <w:tblW w:w="7503" w:type="dxa"/>
        <w:jc w:val="left"/>
        <w:tblInd w:w="0" w:type="dxa"/>
        <w:tblLayout w:type="fixed"/>
        <w:tblCellMar>
          <w:top w:w="28" w:type="dxa"/>
          <w:left w:w="28" w:type="dxa"/>
          <w:bottom w:w="28" w:type="dxa"/>
          <w:right w:w="28" w:type="dxa"/>
        </w:tblCellMar>
      </w:tblPr>
      <w:tblGrid>
        <w:gridCol w:w="889"/>
        <w:gridCol w:w="779"/>
        <w:gridCol w:w="791"/>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88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26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9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8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9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actuarial loss</w:t>
            </w:r>
          </w:p>
        </w:tc>
        <w:tc>
          <w:tcPr>
            <w:tcW w:w="8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periodic cost</w:t>
            </w:r>
          </w:p>
        </w:tc>
        <w:tc>
          <w:tcPr>
            <w:tcW w:w="2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15. Income Taxes </w:t>
      </w:r>
    </w:p>
    <w:p>
      <w:pPr>
        <w:pStyle w:val="TextBody"/>
        <w:bidi w:val="0"/>
        <w:spacing w:lineRule="auto" w:line="288" w:before="0" w:after="16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recorded a tax benefit of $4.5 million and a tax provision of $1.3 million for the three and six months ended June 30, 2026, respectively, compared to tax provisions of $5.2 million and $10.4 million for the corresponding prior year periods, respectively. The decreases in our tax provisions for both the three and six-month ended-periods were primarily attributable to stock compensation expenses recorded in 2026 upon completion of the IPO and shifts in the Company’s geographic mix of income, which unfavorably altered our estimated annual effective tax rate. Consequently, our effective tax rate shifted to 47.3% and 666.3% for the three and six months ended June 30, 2026, respectively, compared to 34.6% and 40.0% for the same periods in 2025, respectively.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These fluctuating effective rates were heavily driven by valuation allowances on losses in certain foreign jurisdictions where tax benefits cannot currently be realized, along with the ongoing impacts of localized withholding taxes, statutory jurisdictional rate differentials, and pass-through non-controlling interests related to U.S. income taxed at the owner level. For the three and six months ended June 30, 2026, our income tax included the impact of a $22.5 million stock-based compensation expense related to pre-IPO stock-based awards. For the six months ended June 30, 2026, our income tax also included $0.5 million of IPO related transaction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36700"/>
                <wp:effectExtent l="0" t="0" r="0" b="0"/>
                <wp:wrapNone/>
                <wp:docPr id="22" name="Frame22"/>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Tax Receivable Agreement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On April 2, 2026, the Company entered into a Tax Receivable Agreement (the “TRA”) with HMH B.V. and the Principal Stockholders. The TRA requires the Company to pay 85% of the net cash savings, if any, actually realized or deemed to be realized in certain circumstances to the Principal Stockholders in connection with U.S. federal, state, local and foreign income taxes and franchise taxes resulting from (i) acquisitions of B.V. Voting Shares from the Principal Stockholders by the Company in connection with the IPO, (ii) the acquisition of B.V. Non-Voting Shares from the Principal Stockholders using the net proceeds from any future offering, (iii) redemptions or exchanges of B.V. Non-Voting Shares by the Principal Stockholders and the corresponding number of shares of the Company’s Class B common stock for shares of the Company’s Class A common stock or cash or (iv) tax benefits related to imputed interest deemed arising as a result of payments made under the TRA.</w:t>
      </w:r>
    </w:p>
    <w:p>
      <w:pPr>
        <w:pStyle w:val="TextBody"/>
        <w:bidi w:val="0"/>
        <w:spacing w:lineRule="auto" w:line="288" w:before="0" w:after="160"/>
        <w:jc w:val="both"/>
        <w:rPr/>
      </w:pPr>
      <w:r>
        <w:rPr>
          <w:rFonts w:ascii="Times New Roman;serif" w:hAnsi="Times New Roman;serif"/>
          <w:b w:val="false"/>
          <w:color w:val="000000"/>
          <w:sz w:val="18"/>
        </w:rPr>
        <w:t xml:space="preserve">During the three months ended June 30, 2026, the Company recorded a TRA liability of $3.8 million. The Company also recorded a deferred tax liability of $2.8 million, resulting from the difference between the book and tax basis of the Company’s investment in HMH B.V. which was reflected in </w:t>
      </w:r>
      <w:r>
        <w:rPr>
          <w:rFonts w:ascii="Times New Roman;serif" w:hAnsi="Times New Roman;serif"/>
          <w:b w:val="false"/>
          <w:i/>
          <w:color w:val="000000"/>
          <w:sz w:val="18"/>
        </w:rPr>
        <w:t>Additional paid-in capital</w:t>
      </w:r>
      <w:r>
        <w:rPr>
          <w:color w:val="000000"/>
        </w:rPr>
        <w:t xml:space="preserve"> </w:t>
      </w:r>
      <w:r>
        <w:rPr>
          <w:rFonts w:ascii="Times New Roman;serif" w:hAnsi="Times New Roman;serif"/>
          <w:b w:val="false"/>
          <w:color w:val="000000"/>
          <w:sz w:val="18"/>
        </w:rPr>
        <w:t xml:space="preserve">in our </w:t>
      </w:r>
      <w:r>
        <w:rPr>
          <w:rFonts w:ascii="Times New Roman;serif" w:hAnsi="Times New Roman;serif"/>
          <w:b w:val="false"/>
          <w:i/>
          <w:color w:val="000000"/>
          <w:sz w:val="18"/>
        </w:rPr>
        <w:t xml:space="preserve">Condensed Consolidated Balance Sheet </w:t>
      </w:r>
      <w:r>
        <w:rPr>
          <w:rFonts w:ascii="Times New Roman;serif" w:hAnsi="Times New Roman;serif"/>
          <w:b w:val="false"/>
          <w:color w:val="000000"/>
          <w:sz w:val="18"/>
        </w:rPr>
        <w:t>as of June 30, 2026</w:t>
      </w:r>
      <w:r>
        <w:rPr>
          <w:rFonts w:ascii="Times New Roman;serif" w:hAnsi="Times New Roman;serif"/>
          <w:b w:val="false"/>
          <w:i/>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16. Commitments and Contingencies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are involved in various claims and legal actions arising in the ordinary course of business. A liability is recognized in our consolidated financial statements when a loss is considered probable and amounts can be reasonably estimated. When a material loss contingency is reasonably possible but not probable, we will disclose the nature of the claim and, if possible, an estimate of the loss or range of loss. We believe it is remote that outcomes of such known matters would have a material adverse impact on our consolidated financial position, results of operations or liquidity.</w:t>
      </w:r>
    </w:p>
    <w:p>
      <w:pPr>
        <w:pStyle w:val="TextBody"/>
        <w:bidi w:val="0"/>
        <w:spacing w:lineRule="auto" w:line="288" w:before="0" w:after="160"/>
        <w:jc w:val="left"/>
        <w:rPr>
          <w:rFonts w:ascii="Times New Roman;serif" w:hAnsi="Times New Roman;serif"/>
          <w:b/>
          <w:i/>
          <w:color w:val="000000"/>
          <w:sz w:val="18"/>
        </w:rPr>
      </w:pPr>
      <w:r>
        <w:rPr>
          <w:rFonts w:ascii="Times New Roman;serif" w:hAnsi="Times New Roman;serif"/>
          <w:b/>
          <w:i/>
          <w:color w:val="000000"/>
          <w:sz w:val="18"/>
        </w:rPr>
        <w:t>Restructuring</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 Company has taken a substantial workforce decrease and reorganization in recent years, driven by the desire to increase efficiency and flexibility and rationalize its footprint. In January 2025, the Company initiated a restructuring plan primarily focused on global workforce reductions and the reorganization of facilities in Horten and Fornebu, Norway. In June 2026, the Company expanded the scope of this restructuring plan to include the reorganization of its operations in Mexico. These initiatives impacted 195 individuals, comprising 110 employees in Norway, 60 employees in Mexico, and 25 employees in Germany.</w:t>
      </w:r>
    </w:p>
    <w:p>
      <w:pPr>
        <w:pStyle w:val="TextBody"/>
        <w:bidi w:val="0"/>
        <w:spacing w:lineRule="auto" w:line="288" w:before="160" w:after="160"/>
        <w:jc w:val="both"/>
        <w:rPr/>
      </w:pPr>
      <w:r>
        <w:rPr>
          <w:rFonts w:ascii="Times New Roman;serif" w:hAnsi="Times New Roman;serif"/>
          <w:b w:val="false"/>
          <w:color w:val="000000"/>
          <w:sz w:val="18"/>
        </w:rPr>
        <w:t>For both the three and six months ended June 30, 2026, we recognized restructuring and other expenses of $5.0 million.</w:t>
      </w:r>
      <w:r>
        <w:rPr>
          <w:color w:val="000000"/>
        </w:rPr>
        <w:t xml:space="preserve"> </w:t>
      </w:r>
      <w:r>
        <w:rPr>
          <w:rFonts w:ascii="Times New Roman;serif" w:hAnsi="Times New Roman;serif"/>
          <w:b w:val="false"/>
          <w:color w:val="000000"/>
          <w:sz w:val="18"/>
        </w:rPr>
        <w:t>For the three and six months ended June 30, 2025, restructuring and other expenses were $1.1 million and $4.3 million, respectively, which included $0.7 million and $1.8 million, respectively, in right-of-use (ROU) asset impairment charges.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changes to the Company’s provision balance for restructuring and other charges: </w:t>
      </w:r>
    </w:p>
    <w:tbl>
      <w:tblPr>
        <w:tblW w:w="4632" w:type="dxa"/>
        <w:jc w:val="left"/>
        <w:tblInd w:w="0" w:type="dxa"/>
        <w:tblLayout w:type="fixed"/>
        <w:tblCellMar>
          <w:top w:w="28" w:type="dxa"/>
          <w:left w:w="28" w:type="dxa"/>
          <w:bottom w:w="28" w:type="dxa"/>
          <w:right w:w="28" w:type="dxa"/>
        </w:tblCellMar>
      </w:tblPr>
      <w:tblGrid>
        <w:gridCol w:w="1098"/>
        <w:gridCol w:w="964"/>
        <w:gridCol w:w="968"/>
        <w:gridCol w:w="109"/>
        <w:gridCol w:w="109"/>
        <w:gridCol w:w="109"/>
        <w:gridCol w:w="274"/>
        <w:gridCol w:w="782"/>
        <w:gridCol w:w="219"/>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 2026</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for costs expensed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for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(1,546)</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Balance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5,485 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color w:val="000000"/>
          <w:sz w:val="18"/>
        </w:rPr>
      </w:pPr>
      <w:r>
        <w:rPr>
          <w:rFonts w:ascii="Times New Roman;serif" w:hAnsi="Times New Roman;serif"/>
          <w:b/>
          <w:color w:val="000000"/>
          <w:sz w:val="18"/>
        </w:rPr>
        <w:t xml:space="preserve">Other </w:t>
      </w:r>
    </w:p>
    <w:p>
      <w:pPr>
        <w:pStyle w:val="TextBody"/>
        <w:bidi w:val="0"/>
        <w:spacing w:lineRule="auto" w:line="288" w:before="0" w:after="320"/>
        <w:jc w:val="both"/>
        <w:rPr>
          <w:rFonts w:ascii="Times New Roman;serif" w:hAnsi="Times New Roman;serif"/>
          <w:b w:val="false"/>
          <w:color w:val="000000"/>
          <w:sz w:val="18"/>
        </w:rPr>
      </w:pPr>
      <w:r>
        <w:rPr>
          <w:rFonts w:ascii="Times New Roman;serif" w:hAnsi="Times New Roman;serif"/>
          <w:b w:val="false"/>
          <w:color w:val="000000"/>
          <w:sz w:val="18"/>
        </w:rPr>
        <w:t xml:space="preserve">In the normal course of business with customers, vendors and others, the Company has issued various bank guarantees, such as advance payment guarantees, surety bonds, performance guarantees, bid bonds, customs and tax guarantees to guarantee the Company’s performance as it relates to contracts with customers, contract bidding, customs duties, tax appeals and obligations in various jurisdictions. As of June 30, 2026, the Company had outstanding bank guarantees of $30.1 million. As of June 30, 2026, none of these guarantees either has, or is likely to have, a material impact on the Company’s financial position, results of operations or cash flows as the Company expects to comply with the underlying performance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36700"/>
                <wp:effectExtent l="0" t="0" r="0" b="0"/>
                <wp:wrapNone/>
                <wp:docPr id="23" name="Frame23"/>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17. Related Party Transactions</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a summary of transactions and balances with significant related parties: </w:t>
      </w:r>
    </w:p>
    <w:tbl>
      <w:tblPr>
        <w:tblW w:w="10205" w:type="dxa"/>
        <w:jc w:val="left"/>
        <w:tblInd w:w="0" w:type="dxa"/>
        <w:tblLayout w:type="fixed"/>
        <w:tblCellMar>
          <w:top w:w="28" w:type="dxa"/>
          <w:left w:w="28" w:type="dxa"/>
          <w:bottom w:w="28" w:type="dxa"/>
          <w:right w:w="28" w:type="dxa"/>
        </w:tblCellMar>
      </w:tblPr>
      <w:tblGrid>
        <w:gridCol w:w="1036"/>
        <w:gridCol w:w="907"/>
        <w:gridCol w:w="915"/>
        <w:gridCol w:w="109"/>
        <w:gridCol w:w="109"/>
        <w:gridCol w:w="109"/>
        <w:gridCol w:w="219"/>
        <w:gridCol w:w="454"/>
        <w:gridCol w:w="123"/>
        <w:gridCol w:w="109"/>
        <w:gridCol w:w="109"/>
        <w:gridCol w:w="109"/>
        <w:gridCol w:w="209"/>
        <w:gridCol w:w="437"/>
        <w:gridCol w:w="114"/>
        <w:gridCol w:w="109"/>
        <w:gridCol w:w="109"/>
        <w:gridCol w:w="109"/>
        <w:gridCol w:w="109"/>
        <w:gridCol w:w="109"/>
        <w:gridCol w:w="208"/>
        <w:gridCol w:w="591"/>
        <w:gridCol w:w="117"/>
        <w:gridCol w:w="109"/>
        <w:gridCol w:w="109"/>
        <w:gridCol w:w="109"/>
        <w:gridCol w:w="247"/>
        <w:gridCol w:w="531"/>
        <w:gridCol w:w="138"/>
        <w:gridCol w:w="109"/>
        <w:gridCol w:w="109"/>
        <w:gridCol w:w="109"/>
        <w:gridCol w:w="240"/>
        <w:gridCol w:w="497"/>
        <w:gridCol w:w="134"/>
        <w:gridCol w:w="109"/>
        <w:gridCol w:w="109"/>
        <w:gridCol w:w="109"/>
        <w:gridCol w:w="196"/>
        <w:gridCol w:w="556"/>
        <w:gridCol w:w="156"/>
      </w:tblGrid>
      <w:tr>
        <w:trPr/>
        <w:tc>
          <w:tcPr>
            <w:tcW w:w="103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Baker</w:t>
              <w:br/>
              <w:t>Hughes</w:t>
              <w:br/>
              <w:t>Holdings</w:t>
              <w:br/>
              <w:t>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Akastor</w:t>
              <w:br/>
              <w: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Baker</w:t>
              <w:br/>
              <w:t>Hughes</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Akastor</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Tanajib</w:t>
              <w:br/>
              <w:t>Holding</w:t>
              <w:b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5"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235" w:type="dxa"/>
            <w:gridSpan w:val="6"/>
            <w:tcBorders/>
          </w:tcPr>
          <w:p>
            <w:pPr>
              <w:pStyle w:val="TableContents"/>
              <w:bidi w:val="0"/>
              <w:spacing w:before="0" w:after="283"/>
              <w:jc w:val="left"/>
              <w:rPr>
                <w:sz w:val="4"/>
                <w:szCs w:val="4"/>
              </w:rPr>
            </w:pPr>
            <w:r>
              <w:rPr>
                <w:sz w:val="4"/>
                <w:szCs w:val="4"/>
              </w:rPr>
            </w:r>
          </w:p>
        </w:tc>
      </w:tr>
      <w:tr>
        <w:trPr/>
        <w:tc>
          <w:tcPr>
            <w:tcW w:w="8970"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Statements of Income</w:t>
            </w:r>
          </w:p>
        </w:tc>
        <w:tc>
          <w:tcPr>
            <w:tcW w:w="1235" w:type="dxa"/>
            <w:gridSpan w:val="6"/>
            <w:tcBorders/>
          </w:tcPr>
          <w:p>
            <w:pPr>
              <w:pStyle w:val="TableContents"/>
              <w:bidi w:val="0"/>
              <w:spacing w:before="0" w:after="283"/>
              <w:jc w:val="left"/>
              <w:rPr>
                <w:sz w:val="4"/>
                <w:szCs w:val="4"/>
              </w:rPr>
            </w:pPr>
            <w:r>
              <w:rPr>
                <w:sz w:val="4"/>
                <w:szCs w:val="4"/>
              </w:rPr>
            </w:r>
          </w:p>
        </w:tc>
      </w:tr>
      <w:tr>
        <w:trPr/>
        <w:tc>
          <w:tcPr>
            <w:tcW w:w="8970"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235" w:type="dxa"/>
            <w:gridSpan w:val="6"/>
            <w:tcBorders/>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0"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235" w:type="dxa"/>
            <w:gridSpan w:val="6"/>
            <w:tcBorders/>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0"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Balance Sheets</w:t>
            </w:r>
          </w:p>
        </w:tc>
        <w:tc>
          <w:tcPr>
            <w:tcW w:w="1235" w:type="dxa"/>
            <w:gridSpan w:val="6"/>
            <w:tcBorders/>
          </w:tcPr>
          <w:p>
            <w:pPr>
              <w:pStyle w:val="TableContents"/>
              <w:bidi w:val="0"/>
              <w:spacing w:before="0" w:after="283"/>
              <w:jc w:val="left"/>
              <w:rPr>
                <w:sz w:val="4"/>
                <w:szCs w:val="4"/>
              </w:rPr>
            </w:pPr>
            <w:r>
              <w:rPr>
                <w:sz w:val="4"/>
                <w:szCs w:val="4"/>
              </w:rPr>
            </w:r>
          </w:p>
        </w:tc>
      </w:tr>
      <w:tr>
        <w:trPr/>
        <w:tc>
          <w:tcPr>
            <w:tcW w:w="8970" w:type="dxa"/>
            <w:gridSpan w:val="35"/>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235" w:type="dxa"/>
            <w:gridSpan w:val="6"/>
            <w:tcBorders/>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82" w:type="dxa"/>
        <w:jc w:val="left"/>
        <w:tblInd w:w="0" w:type="dxa"/>
        <w:tblLayout w:type="fixed"/>
        <w:tblCellMar>
          <w:top w:w="28" w:type="dxa"/>
          <w:left w:w="28" w:type="dxa"/>
          <w:bottom w:w="28" w:type="dxa"/>
          <w:right w:w="28" w:type="dxa"/>
        </w:tblCellMar>
      </w:tblPr>
      <w:tblGrid>
        <w:gridCol w:w="1046"/>
        <w:gridCol w:w="920"/>
        <w:gridCol w:w="928"/>
        <w:gridCol w:w="109"/>
        <w:gridCol w:w="109"/>
        <w:gridCol w:w="109"/>
        <w:gridCol w:w="239"/>
        <w:gridCol w:w="497"/>
        <w:gridCol w:w="123"/>
        <w:gridCol w:w="109"/>
        <w:gridCol w:w="109"/>
        <w:gridCol w:w="109"/>
        <w:gridCol w:w="204"/>
        <w:gridCol w:w="442"/>
        <w:gridCol w:w="112"/>
        <w:gridCol w:w="109"/>
        <w:gridCol w:w="109"/>
        <w:gridCol w:w="109"/>
        <w:gridCol w:w="247"/>
        <w:gridCol w:w="531"/>
        <w:gridCol w:w="138"/>
        <w:gridCol w:w="109"/>
        <w:gridCol w:w="109"/>
        <w:gridCol w:w="109"/>
        <w:gridCol w:w="247"/>
        <w:gridCol w:w="531"/>
        <w:gridCol w:w="138"/>
        <w:gridCol w:w="109"/>
        <w:gridCol w:w="109"/>
        <w:gridCol w:w="109"/>
        <w:gridCol w:w="240"/>
        <w:gridCol w:w="497"/>
        <w:gridCol w:w="134"/>
        <w:gridCol w:w="109"/>
        <w:gridCol w:w="109"/>
        <w:gridCol w:w="109"/>
        <w:gridCol w:w="196"/>
        <w:gridCol w:w="55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Baker</w:t>
              <w:br/>
              <w:t>Hughes</w:t>
              <w:br/>
              <w:t>Holdings</w:t>
              <w:br/>
              <w:t>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Akastor</w:t>
              <w:br/>
              <w: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Baker</w:t>
              <w:br/>
              <w:t>Hughes</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br/>
              <w:t>Akastor</w:t>
              <w:br/>
              <w:t>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Tanajib</w:t>
              <w:br/>
              <w:t>Holding</w:t>
              <w:b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0082"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Statements of Income</w:t>
            </w:r>
          </w:p>
        </w:tc>
      </w:tr>
      <w:tr>
        <w:trPr/>
        <w:tc>
          <w:tcPr>
            <w:tcW w:w="10082"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2"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(956)</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2"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Condensed Consolidated Balance Sheets</w:t>
            </w:r>
          </w:p>
        </w:tc>
      </w:tr>
      <w:tr>
        <w:trPr/>
        <w:tc>
          <w:tcPr>
            <w:tcW w:w="10082" w:type="dxa"/>
            <w:gridSpan w:val="3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4,654 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24,545 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112,471 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31,261 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7,907 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18. Segment Information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Operating segments are defined as components of an entity for which separate financial information is available and evaluated on a regular basis by the Chief Operating Decision Maker (“CODM”) to allocate resources and assess performance. As of June 30, 2026 and 2025, the Company had two operating segments, ESS and PCS. The Company has identified its reportable segments based on the nature of the products and services, markets served and pricing and go-to-market strategies. </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18"/>
        </w:rPr>
        <w:t xml:space="preserve">ESS is a supplier of drilling solutions and complete topside drilling packages and services to both onshore and offshore oil and gas customers. Key product offerings consist of overhaul, equipment installation and commissioning, services account management, 24/7 technical support, logistics, engineering upgrades, spare parts supply and training and condition-based maintenance. The ESS segment is derived from the acquisition of MHWirth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36700"/>
                <wp:effectExtent l="0" t="0" r="0" b="0"/>
                <wp:wrapNone/>
                <wp:docPr id="24" name="Frame24"/>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18"/>
        </w:rPr>
        <w:t xml:space="preserve">PCS is a supplier of integrated drilling products and services. Key product offerings consist of blowout preventer systems, controls and drilling riser equipment, spare parts supply for rig operations and maintenance programs, overhaul and recertification and reactivation of rigs and technical and operational rig support. The PCS segment is derived from the acquisition of Subsea Drilling Systems.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In addition to its reportable segments, the Company has corporate operations (Headquarters) which include general corporate expenses. Headquarters includes certain corporate stewardship items discussed below necessary to reconcile the reportable segments to the Company’s total amounts.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CODM, who is the Company’s Chief Executive Officer, uses segment operating income as the primary financial measure to evaluate segment performance. Segment operating income is defined as income before taxes (excluding certain corporate stewardship costs which are not allocable to the segments, such as legal, certain corporate finance functions and centrally managed initiatives, other non-operating items, and depreciation and amortization related to certain long-lived assets, including the headquarters office space), net other operating expenses (income), net foreign currency gain (loss), net other non-operating income (loss), and net interest income (expense). Inter-segment pricing is determined on an arm’s length basis. The CODM uses segment operating income in the budget and forecasting process and to monitor budget versus actual results, which are used in assessing the performance of the segments and to allocate resources to the segments. Segment assets are not reported to, or used by, the CODM to allocate resources to or assess performance of the Company’s segments.</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reconciliation of reportable segment revenues:</w:t>
      </w:r>
    </w:p>
    <w:tbl>
      <w:tblPr>
        <w:tblW w:w="10205" w:type="dxa"/>
        <w:jc w:val="left"/>
        <w:tblInd w:w="0" w:type="dxa"/>
        <w:tblLayout w:type="fixed"/>
        <w:tblCellMar>
          <w:top w:w="28" w:type="dxa"/>
          <w:left w:w="28" w:type="dxa"/>
          <w:bottom w:w="28" w:type="dxa"/>
          <w:right w:w="28" w:type="dxa"/>
        </w:tblCellMar>
      </w:tblPr>
      <w:tblGrid>
        <w:gridCol w:w="866"/>
        <w:gridCol w:w="541"/>
        <w:gridCol w:w="544"/>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8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7" w:type="dxa"/>
            <w:gridSpan w:val="3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6,231 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100,426 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175,853 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128,237 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81,451 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209,688 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 of intersegment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(6,231)</w:t>
            </w:r>
          </w:p>
        </w:tc>
        <w:tc>
          <w:tcPr>
            <w:tcW w:w="15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401,887 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11,581 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206,365 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149,677 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356,042 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237,896 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175,572 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413,468 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 of intersegment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(11,581)</w:t>
            </w:r>
          </w:p>
        </w:tc>
        <w:tc>
          <w:tcPr>
            <w:tcW w:w="15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401,887 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reconciliation of segment performance:</w:t>
      </w:r>
    </w:p>
    <w:tbl>
      <w:tblPr>
        <w:tblW w:w="10205" w:type="dxa"/>
        <w:jc w:val="left"/>
        <w:tblInd w:w="0" w:type="dxa"/>
        <w:tblLayout w:type="fixed"/>
        <w:tblCellMar>
          <w:top w:w="28" w:type="dxa"/>
          <w:left w:w="28" w:type="dxa"/>
          <w:bottom w:w="28" w:type="dxa"/>
          <w:right w:w="28" w:type="dxa"/>
        </w:tblCellMar>
      </w:tblPr>
      <w:tblGrid>
        <w:gridCol w:w="1058"/>
        <w:gridCol w:w="846"/>
        <w:gridCol w:w="853"/>
        <w:gridCol w:w="196"/>
        <w:gridCol w:w="646"/>
        <w:gridCol w:w="109"/>
        <w:gridCol w:w="109"/>
        <w:gridCol w:w="109"/>
        <w:gridCol w:w="109"/>
        <w:gridCol w:w="196"/>
        <w:gridCol w:w="646"/>
        <w:gridCol w:w="109"/>
        <w:gridCol w:w="109"/>
        <w:gridCol w:w="109"/>
        <w:gridCol w:w="109"/>
        <w:gridCol w:w="196"/>
        <w:gridCol w:w="617"/>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55"/>
      </w:tblGrid>
      <w:tr>
        <w:trPr/>
        <w:tc>
          <w:tcPr>
            <w:tcW w:w="105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Revenues from external customers</w:t>
            </w:r>
            <w:r>
              <w:rPr>
                <w:rFonts w:ascii="Times New Roman;serif" w:hAnsi="Times New Roman;serif"/>
                <w:b w:val="false"/>
                <w:color w:val="000000"/>
                <w:sz w:val="12"/>
              </w:rPr>
              <w:t>(a)</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(64,585)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(56,849)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Restructuring and other expenses</w:t>
            </w:r>
            <w:r>
              <w:rPr>
                <w:rFonts w:ascii="Times New Roman;serif" w:hAnsi="Times New Roman;serif"/>
                <w:b w:val="false"/>
                <w:color w:val="000000"/>
                <w:sz w:val="12"/>
              </w:rPr>
              <w:t>(b)</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 (loss)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23,369 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Unallocated corporate costs</w:t>
            </w:r>
            <w:r>
              <w:rPr>
                <w:rFonts w:ascii="Times New Roman;serif" w:hAnsi="Times New Roman;serif"/>
                <w:b w:val="false"/>
                <w:color w:val="000000"/>
                <w:sz w:val="12"/>
              </w:rPr>
              <w:t>(c)</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(2,619)</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(9,106)</w:t>
            </w:r>
          </w:p>
        </w:tc>
        <w:tc>
          <w:tcPr>
            <w:tcW w:w="15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(9,525)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14,926 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36700"/>
                <wp:effectExtent l="0" t="0" r="0" b="0"/>
                <wp:wrapNone/>
                <wp:docPr id="25" name="Frame25"/>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8"/>
        <w:gridCol w:w="732"/>
        <w:gridCol w:w="738"/>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55"/>
      </w:tblGrid>
      <w:tr>
        <w:trPr/>
        <w:tc>
          <w:tcPr>
            <w:tcW w:w="98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Revenues from external customers</w:t>
            </w:r>
            <w:r>
              <w:rPr>
                <w:rFonts w:ascii="Times New Roman;serif" w:hAnsi="Times New Roman;serif"/>
                <w:b w:val="false"/>
                <w:color w:val="000000"/>
                <w:sz w:val="12"/>
              </w:rPr>
              <w:t>(a)</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(132,845)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(170,410)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(123,018)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Restructuring and other expenses</w:t>
            </w:r>
            <w:r>
              <w:rPr>
                <w:rFonts w:ascii="Times New Roman;serif" w:hAnsi="Times New Roman;serif"/>
                <w:b w:val="false"/>
                <w:color w:val="000000"/>
                <w:sz w:val="12"/>
              </w:rPr>
              <w:t>(b)</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 (loss)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41,127 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8"/>
              </w:rPr>
              <w:t>Unallocated corporate costs</w:t>
            </w:r>
            <w:r>
              <w:rPr>
                <w:rFonts w:ascii="Times New Roman;serif" w:hAnsi="Times New Roman;serif"/>
                <w:b w:val="false"/>
                <w:color w:val="000000"/>
                <w:sz w:val="12"/>
              </w:rPr>
              <w:t>(c)</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(6,199)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(4,370)</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6,941 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5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26,060 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i/>
          <w:color w:val="000000"/>
          <w:sz w:val="16"/>
        </w:rPr>
      </w:pPr>
      <w:r>
        <w:rPr>
          <w:rFonts w:ascii="Times New Roman;serif" w:hAnsi="Times New Roman;serif"/>
          <w:b w:val="false"/>
          <w:i/>
          <w:color w:val="000000"/>
          <w:sz w:val="16"/>
        </w:rPr>
        <w:t>(a)As the CODM does not regularly review intersegment revenue, it is excluded from the determination of total segment operating income. The CODM uses revenue from external customers to assess performance and allocate resources.</w:t>
      </w:r>
    </w:p>
    <w:p>
      <w:pPr>
        <w:pStyle w:val="TextBody"/>
        <w:bidi w:val="0"/>
        <w:spacing w:lineRule="auto" w:line="288" w:before="0" w:after="0"/>
        <w:ind w:left="0" w:right="0" w:hanging="450"/>
        <w:jc w:val="both"/>
        <w:rPr>
          <w:rFonts w:ascii="Times New Roman;serif" w:hAnsi="Times New Roman;serif"/>
          <w:b w:val="false"/>
          <w:i/>
          <w:color w:val="000000"/>
          <w:sz w:val="16"/>
        </w:rPr>
      </w:pPr>
      <w:r>
        <w:rPr>
          <w:rFonts w:ascii="Times New Roman;serif" w:hAnsi="Times New Roman;serif"/>
          <w:b w:val="false"/>
          <w:i/>
          <w:color w:val="000000"/>
          <w:sz w:val="16"/>
        </w:rPr>
        <w:t>(b) Restructuring and other expenses consist of severance costs primarily related to workforce reductions and impairment of right-of-use assets.</w:t>
      </w:r>
    </w:p>
    <w:p>
      <w:pPr>
        <w:pStyle w:val="TextBody"/>
        <w:bidi w:val="0"/>
        <w:spacing w:lineRule="auto" w:line="288" w:before="0" w:after="0"/>
        <w:ind w:left="0" w:right="0" w:hanging="450"/>
        <w:jc w:val="both"/>
        <w:rPr>
          <w:rFonts w:ascii="Times New Roman;serif" w:hAnsi="Times New Roman;serif"/>
          <w:b w:val="false"/>
          <w:i/>
          <w:color w:val="000000"/>
          <w:sz w:val="16"/>
        </w:rPr>
      </w:pPr>
      <w:r>
        <w:rPr>
          <w:rFonts w:ascii="Times New Roman;serif" w:hAnsi="Times New Roman;serif"/>
          <w:b w:val="false"/>
          <w:i/>
          <w:color w:val="000000"/>
          <w:sz w:val="16"/>
        </w:rPr>
        <w:t>(c) Unallocated corporate costs include certain centralized corporate stewardship costs that are not allocable to the segments and are included in Selling, general and administrative expenses in our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60"/>
        <w:jc w:val="left"/>
        <w:rPr>
          <w:rFonts w:ascii="Times New Roman;serif" w:hAnsi="Times New Roman;serif"/>
          <w:b/>
          <w:color w:val="000000"/>
          <w:sz w:val="20"/>
        </w:rPr>
      </w:pPr>
      <w:r>
        <w:rPr>
          <w:rFonts w:ascii="Times New Roman;serif" w:hAnsi="Times New Roman;serif"/>
          <w:b/>
          <w:color w:val="000000"/>
          <w:sz w:val="20"/>
        </w:rPr>
        <w:t>19. Earnings per Share</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Basic earnings per share is calculated by dividing the net income (loss) attributable to the Company during the period by the weighted average number of shares of Class A common stock outstanding during the same period. For the periods following the IPO, shares of Class B common stock are excluded from the computation of basic and diluted earnings per share, as these shares represent nonparticipating securities with no rights to dividends or earnings.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For periods prior to the IPO, we treated the Corporate Reorganization as a merger of entities under common control and retrospectively reflected earnings per share as though these transactions occurred at the earliest period presented. We allocated historical net income (loss) between Class A common stockholders and non-controlling interests based on their respective share ownership, with Class A and Class B share equivalents calculated from the HMH B.V. shares held by the Principal Stockholders.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 calculation of basic and diluted weighted average shares used for calculating earnings (loss) per share for the three and six months ended June 30, 2025 does not include the 11.2 million shares of Class A common stock sold in the IPO.</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reconciles the figures used to calculate basic and diluted net income (loss) per share for common stock: </w:t>
      </w:r>
    </w:p>
    <w:tbl>
      <w:tblPr>
        <w:tblW w:w="10205" w:type="dxa"/>
        <w:jc w:val="left"/>
        <w:tblInd w:w="0" w:type="dxa"/>
        <w:tblLayout w:type="fixed"/>
        <w:tblCellMar>
          <w:top w:w="28" w:type="dxa"/>
          <w:left w:w="28" w:type="dxa"/>
          <w:bottom w:w="28" w:type="dxa"/>
          <w:right w:w="28" w:type="dxa"/>
        </w:tblCellMar>
      </w:tblPr>
      <w:tblGrid>
        <w:gridCol w:w="1913"/>
        <w:gridCol w:w="1679"/>
        <w:gridCol w:w="1689"/>
        <w:gridCol w:w="217"/>
        <w:gridCol w:w="684"/>
        <w:gridCol w:w="120"/>
        <w:gridCol w:w="120"/>
        <w:gridCol w:w="120"/>
        <w:gridCol w:w="120"/>
        <w:gridCol w:w="217"/>
        <w:gridCol w:w="617"/>
        <w:gridCol w:w="120"/>
        <w:gridCol w:w="109"/>
        <w:gridCol w:w="109"/>
        <w:gridCol w:w="109"/>
        <w:gridCol w:w="196"/>
        <w:gridCol w:w="619"/>
        <w:gridCol w:w="109"/>
        <w:gridCol w:w="109"/>
        <w:gridCol w:w="109"/>
        <w:gridCol w:w="109"/>
        <w:gridCol w:w="196"/>
        <w:gridCol w:w="650"/>
        <w:gridCol w:w="165"/>
      </w:tblGrid>
      <w:tr>
        <w:trPr/>
        <w:tc>
          <w:tcPr>
            <w:tcW w:w="191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Numerator </w:t>
            </w:r>
            <w:r>
              <w:rPr>
                <w:rFonts w:ascii="Times New Roman;serif" w:hAnsi="Times New Roman;serif"/>
                <w:b w:val="false"/>
                <w:i/>
                <w:color w:val="000000"/>
                <w:sz w:val="18"/>
              </w:rPr>
              <w:t>(in thousands)</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HMH Holding Inc.</w:t>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15,061 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 (actual shares)</w:t>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common stock for HMH and HMH B.V. outstanding—basic</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of common stock outstanding—diluted</w:t>
            </w:r>
          </w:p>
        </w:tc>
        <w:tc>
          <w:tcPr>
            <w:tcW w:w="9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11,971 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69,355 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share of common stock (actual)</w:t>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apply the treasury stock method to certain equity-based compensation awards and the "if-converted" method to determine the dilutive impact of the associated exchange rights on weighted-average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36700"/>
                <wp:effectExtent l="0" t="0" r="0" b="0"/>
                <wp:wrapNone/>
                <wp:docPr id="26" name="Frame26"/>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HMH HOLDING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 (UNAUDITED)</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 following table details the actual potential common shares excluded from the diluted share calculation because their effect would be anti-dilutive:</w:t>
      </w:r>
    </w:p>
    <w:tbl>
      <w:tblPr>
        <w:tblW w:w="7197" w:type="dxa"/>
        <w:jc w:val="left"/>
        <w:tblInd w:w="0" w:type="dxa"/>
        <w:tblLayout w:type="fixed"/>
        <w:tblCellMar>
          <w:top w:w="28" w:type="dxa"/>
          <w:left w:w="28" w:type="dxa"/>
          <w:bottom w:w="28" w:type="dxa"/>
          <w:right w:w="28" w:type="dxa"/>
        </w:tblCellMar>
      </w:tblPr>
      <w:tblGrid>
        <w:gridCol w:w="689"/>
        <w:gridCol w:w="606"/>
        <w:gridCol w:w="609"/>
        <w:gridCol w:w="431"/>
        <w:gridCol w:w="271"/>
        <w:gridCol w:w="271"/>
        <w:gridCol w:w="271"/>
        <w:gridCol w:w="271"/>
        <w:gridCol w:w="271"/>
        <w:gridCol w:w="271"/>
        <w:gridCol w:w="271"/>
        <w:gridCol w:w="271"/>
        <w:gridCol w:w="109"/>
        <w:gridCol w:w="109"/>
        <w:gridCol w:w="109"/>
        <w:gridCol w:w="331"/>
        <w:gridCol w:w="242"/>
        <w:gridCol w:w="242"/>
        <w:gridCol w:w="242"/>
        <w:gridCol w:w="242"/>
        <w:gridCol w:w="242"/>
        <w:gridCol w:w="242"/>
        <w:gridCol w:w="242"/>
        <w:gridCol w:w="342"/>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common stock</w:t>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share units</w:t>
            </w:r>
          </w:p>
        </w:tc>
        <w:tc>
          <w:tcPr>
            <w:tcW w:w="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As of June 30, 2026, the 63,783,304 total B.V. Non-Voting Class A Shares and B.V. Non-Voting Class B Shares together with 31,891,652 shares of the Company’s Class B common stock could be exchanged for 31,891,652 shares of the Company’s Class A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36700"/>
                <wp:effectExtent l="0" t="0" r="0" b="0"/>
                <wp:wrapNone/>
                <wp:docPr id="27" name="Frame27"/>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160"/>
        <w:jc w:val="both"/>
        <w:rPr/>
      </w:pPr>
      <w:r>
        <w:rPr>
          <w:rFonts w:ascii="Times New Roman;serif" w:hAnsi="Times New Roman;serif"/>
          <w:b w:val="false"/>
          <w:i/>
          <w:color w:val="000000"/>
          <w:sz w:val="18"/>
        </w:rPr>
        <w:t>The following Management’s Discussion and Analysis of Financial Condition and Results of Operations should be read together with the unaudited consolidated financial statements and accompanying notes for the quarter ended June 30, 2026 included under Item 1. Financial Statements of this Quarterly Report on Form 10-Q and the audited consolidated financial statements and accompanying notes in the Final Prospectus. This discussion contains forward-looking statements that involve risks, assumptions and uncertainties that could cause actual results to differ materially from our expectations. Our actual results could differ materially from those discussed below. Factors that could cause or contribute to such differences include, but are not limited to, those described under</w:t>
      </w:r>
      <w:r>
        <w:rPr>
          <w:color w:val="000000"/>
        </w:rPr>
        <w:t xml:space="preserve"> “</w:t>
      </w:r>
      <w:hyperlink r:id="rId2">
        <w:r>
          <w:rPr>
            <w:rStyle w:val="InternetLink"/>
            <w:rFonts w:ascii="Times New Roman;serif" w:hAnsi="Times New Roman;serif"/>
            <w:b w:val="false"/>
            <w:color w:val="0000FF"/>
            <w:sz w:val="18"/>
            <w:u w:val="single"/>
          </w:rPr>
          <w:t>Risk Factors</w:t>
        </w:r>
      </w:hyperlink>
      <w:r>
        <w:rPr>
          <w:rFonts w:ascii="Times New Roman;serif" w:hAnsi="Times New Roman;serif"/>
          <w:b w:val="false"/>
          <w:color w:val="000000"/>
          <w:sz w:val="18"/>
        </w:rPr>
        <w:t>,” in the Final Prospectus.</w:t>
      </w:r>
    </w:p>
    <w:p>
      <w:pPr>
        <w:pStyle w:val="TextBody"/>
        <w:bidi w:val="0"/>
        <w:spacing w:lineRule="auto" w:line="288" w:before="160" w:after="160"/>
        <w:jc w:val="both"/>
        <w:rPr>
          <w:rFonts w:ascii="Times New Roman;serif" w:hAnsi="Times New Roman;serif"/>
          <w:b w:val="false"/>
          <w:i/>
          <w:color w:val="000000"/>
          <w:sz w:val="18"/>
        </w:rPr>
      </w:pPr>
      <w:r>
        <w:rPr>
          <w:rFonts w:ascii="Times New Roman;serif" w:hAnsi="Times New Roman;serif"/>
          <w:b w:val="false"/>
          <w:i/>
          <w:color w:val="000000"/>
          <w:sz w:val="18"/>
        </w:rPr>
        <w:t xml:space="preserve">In this section, references to “HMH Holding,” the “Company,” “we,” “us,” or “our” refer to HMH Holding Inc. and its subsidiaries, unless otherwise indicated or the context otherwise requires. </w:t>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Company Overview</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are a leading provider of highly engineered, mission-critical equipment solutions, providing customers with a comprehensive portfolio of drilling equipment, services and systems utilized in oil and gas drilling operations, both offshore and onshore. Our global reach, technical expertise and innovative product offerings, coupled with our integrated operations from manufacturing to aftermarket services, allow us to provide customers with first class technology, engineering and project management services through the entire asset lifecycle of the equipment we provide. In addition, we are growing our portfolio of products and services to adjacent industries, such as mining. The complexity and criticality of our installed equipment drive customers to choose us for their aftermarket support, particularly in the offshore environment, which is subject to extensive regulation.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are a global company, with locations in 15 countries and sales in over 80 countries. We sell equipment and services to three core customer categories across the markets that we serve: (i) drilling contractors; (ii) operators, including both oil and gas E&amp;P companies and mining companies onshore and offshore; and (iii) manufacturers, consisting of shipyards and manufacturers of capital equipment. In addition to providing a range of equipment, spare parts, recurring aftermarket services and digital solutions to the onshore and offshore oil and gas drilling industry, we provide equipment and services to the onshore and subsea mining industry.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Our comprehensive portfolio of offerings, supported by integrated delivery capabilities and broad range of applications, enables us to address a full range of customer priorities. Our offerings are broadly categorized as:         </w:t>
      </w:r>
    </w:p>
    <w:p>
      <w:pPr>
        <w:pStyle w:val="TextBody"/>
        <w:bidi w:val="0"/>
        <w:spacing w:lineRule="auto" w:line="288" w:before="160" w:after="160"/>
        <w:jc w:val="both"/>
        <w:rPr/>
      </w:pPr>
      <w:r>
        <w:rPr>
          <w:rFonts w:ascii="Times New Roman;serif" w:hAnsi="Times New Roman;serif"/>
          <w:b/>
          <w:i/>
          <w:color w:val="000000"/>
          <w:sz w:val="18"/>
        </w:rPr>
        <w:t>Sales of Projects and Products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This includes (i) comprehensive drilling equipment packages containing a full suite of components needed for a newbuild or reactivated drilling rig and (ii) individual or grouped components of drilling and pressure control equipment that facilitate customers maintaining and upgrading their existing fleet. During the three and six months ended June 30, 2026, we derived 12.1% and 15.6% of our revenue from sales of projects and products, respectively, compared to 29.0% and 28.3% during the three and six months ended June 30, 2025, respectively.         </w:t>
      </w:r>
    </w:p>
    <w:p>
      <w:pPr>
        <w:pStyle w:val="TextBody"/>
        <w:bidi w:val="0"/>
        <w:spacing w:lineRule="auto" w:line="288" w:before="160" w:after="160"/>
        <w:jc w:val="both"/>
        <w:rPr/>
      </w:pPr>
      <w:r>
        <w:rPr>
          <w:rFonts w:ascii="Times New Roman;serif" w:hAnsi="Times New Roman;serif"/>
          <w:b/>
          <w:i/>
          <w:color w:val="000000"/>
          <w:sz w:val="18"/>
        </w:rPr>
        <w:t>Aftermarket Services.</w:t>
      </w:r>
      <w:r>
        <w:rPr>
          <w:color w:val="000000"/>
        </w:rPr>
        <w:t xml:space="preserve"> </w:t>
      </w:r>
      <w:r>
        <w:rPr>
          <w:rFonts w:ascii="Times New Roman;serif" w:hAnsi="Times New Roman;serif"/>
          <w:b w:val="false"/>
          <w:color w:val="000000"/>
          <w:sz w:val="18"/>
        </w:rPr>
        <w:t>This includes services on installed equipment and integrated digital solutions. Our aftermarket services facilitate customers maintaining and improving the lifespan, safety and efficiency of their existing drilling rig fleets. During the three and six months ended June 30, 2026, we derived 52.1% and 47.1% of our revenue from aftermarket services, respectively, compared to 45.4% and 43.8% during the three and six months ended June 30, 2025, respectively.         </w:t>
      </w:r>
    </w:p>
    <w:p>
      <w:pPr>
        <w:pStyle w:val="TextBody"/>
        <w:bidi w:val="0"/>
        <w:spacing w:lineRule="auto" w:line="288" w:before="160" w:after="160"/>
        <w:jc w:val="both"/>
        <w:rPr/>
      </w:pPr>
      <w:r>
        <w:rPr>
          <w:rFonts w:ascii="Times New Roman;serif" w:hAnsi="Times New Roman;serif"/>
          <w:b/>
          <w:i/>
          <w:color w:val="000000"/>
          <w:sz w:val="18"/>
        </w:rPr>
        <w:t>Sales of Spare Parts</w:t>
      </w:r>
      <w:r>
        <w:rPr>
          <w:rFonts w:ascii="Times New Roman;serif" w:hAnsi="Times New Roman;serif"/>
          <w:b w:val="false"/>
          <w:color w:val="000000"/>
          <w:sz w:val="18"/>
        </w:rPr>
        <w:t>. This includes replacement parts for installed equipment used in oil and gas drilling operations. During the three and six months ended June 30, 2026, we derived 35.8% and 37.3% of our revenue from sales of spare parts, respectively, compared to 25.6% and 27.9% during the three and six months ended June 30, 2025, respectively.</w:t>
      </w:r>
    </w:p>
    <w:p>
      <w:pPr>
        <w:pStyle w:val="TextBody"/>
        <w:bidi w:val="0"/>
        <w:spacing w:lineRule="auto" w:line="288" w:before="160" w:after="160"/>
        <w:jc w:val="both"/>
        <w:rPr>
          <w:rFonts w:ascii="Times New Roman;serif" w:hAnsi="Times New Roman;serif"/>
          <w:b/>
          <w:color w:val="000000"/>
          <w:sz w:val="18"/>
        </w:rPr>
      </w:pPr>
      <w:r>
        <w:rPr>
          <w:rFonts w:ascii="Times New Roman;serif" w:hAnsi="Times New Roman;serif"/>
          <w:b/>
          <w:color w:val="000000"/>
          <w:sz w:val="18"/>
        </w:rPr>
        <w:t>Recent Developments</w:t>
      </w:r>
    </w:p>
    <w:p>
      <w:pPr>
        <w:pStyle w:val="TextBody"/>
        <w:bidi w:val="0"/>
        <w:spacing w:lineRule="auto" w:line="268" w:before="0" w:after="0"/>
        <w:jc w:val="both"/>
        <w:rPr/>
      </w:pPr>
      <w:r>
        <w:rPr>
          <w:rFonts w:ascii="Times New Roman;serif" w:hAnsi="Times New Roman;serif"/>
          <w:b w:val="false"/>
          <w:color w:val="000000"/>
          <w:sz w:val="18"/>
        </w:rPr>
        <w:t xml:space="preserve">On April 2, 2026, we completed our initial public offering (the “IPO”) of 10,520,000 shares of our Class A common stock, par value $0.01 (“Class A common stock”), representing approximately 24% of the equity interests in the Company, at a price to the public of $20.00 per share. The net proceeds from the IPO were approximately $197.8 million, after deducting the underwriters’ discounts. On April 30, 2026, the underwriters elected to exercise their option to purchase an additional 685,844 shares of Class A common stock. Net proceeds from this exercise were $12.9 million after deducting discounts and offering fees of $0.8 million. See </w:t>
      </w:r>
      <w:r>
        <w:rPr>
          <w:rFonts w:ascii="Times New Roman;serif" w:hAnsi="Times New Roman;serif"/>
          <w:b w:val="false"/>
          <w:i/>
          <w:color w:val="000000"/>
          <w:sz w:val="18"/>
        </w:rPr>
        <w:t>Note 1—“Basis of Presentation and Summary of Significant Accounting Policies”</w:t>
      </w:r>
      <w:r>
        <w:rPr>
          <w:color w:val="000000"/>
        </w:rPr>
        <w:t xml:space="preserve"> </w:t>
      </w:r>
      <w:r>
        <w:rPr>
          <w:rFonts w:ascii="Times New Roman;serif" w:hAnsi="Times New Roman;serif"/>
          <w:b w:val="false"/>
          <w:color w:val="000000"/>
          <w:sz w:val="18"/>
        </w:rPr>
        <w:t>in the notes to the</w:t>
      </w:r>
      <w:r>
        <w:rPr>
          <w:color w:val="000000"/>
        </w:rPr>
        <w:t xml:space="preserve"> </w:t>
      </w:r>
      <w:r>
        <w:rPr>
          <w:rFonts w:ascii="Times New Roman;serif" w:hAnsi="Times New Roman;serif"/>
          <w:b w:val="false"/>
          <w:i/>
          <w:color w:val="000000"/>
          <w:sz w:val="18"/>
        </w:rPr>
        <w:t>Condensed Consolidated Financial Statements</w:t>
      </w:r>
      <w:r>
        <w:rPr>
          <w:rFonts w:ascii="Times New Roman;serif" w:hAnsi="Times New Roman;serif"/>
          <w:b w:val="false"/>
          <w:color w:val="000000"/>
          <w:sz w:val="18"/>
        </w:rPr>
        <w: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IPO, we entered into the transactions described in our Current Report on Form 8-K filed with the SEC on April 2, 2026. </w:t>
      </w:r>
    </w:p>
    <w:p>
      <w:pPr>
        <w:pStyle w:val="TextBody"/>
        <w:bidi w:val="0"/>
        <w:spacing w:lineRule="auto" w:line="288" w:before="160" w:after="160"/>
        <w:jc w:val="both"/>
        <w:rPr/>
      </w:pPr>
      <w:r>
        <w:rPr>
          <w:rFonts w:ascii="Times New Roman;serif" w:hAnsi="Times New Roman;serif"/>
          <w:b w:val="false"/>
          <w:color w:val="000000"/>
          <w:sz w:val="18"/>
        </w:rPr>
        <w:t xml:space="preserve">The results of operations discussed in this Quarterly Report on Form 10-Q include those of HMH B.V. prior to the completion of our IPO. As a result, the historical consolidated financial data may not give you an accurate indication of what our actual results would have been if the IPO and related corporate reorganization, as discussed in “Corporate Reorganization” in </w:t>
      </w:r>
      <w:r>
        <w:rPr>
          <w:rFonts w:ascii="Times New Roman;serif" w:hAnsi="Times New Roman;serif"/>
          <w:b w:val="false"/>
          <w:i/>
          <w:color w:val="000000"/>
          <w:sz w:val="18"/>
        </w:rPr>
        <w:t>Note 1—“Basis of Presentation and Summary of Significant Accounting Policies”</w:t>
      </w:r>
      <w:r>
        <w:rPr>
          <w:color w:val="000000"/>
        </w:rPr>
        <w:t xml:space="preserve"> </w:t>
      </w:r>
      <w:r>
        <w:rPr>
          <w:rFonts w:ascii="Times New Roman;serif" w:hAnsi="Times New Roman;serif"/>
          <w:b w:val="false"/>
          <w:color w:val="000000"/>
          <w:sz w:val="18"/>
        </w:rPr>
        <w:t xml:space="preserve">of the notes to the </w:t>
      </w:r>
      <w:r>
        <w:rPr>
          <w:rFonts w:ascii="Times New Roman;serif" w:hAnsi="Times New Roman;serif"/>
          <w:b w:val="false"/>
          <w:i/>
          <w:color w:val="000000"/>
          <w:sz w:val="18"/>
        </w:rPr>
        <w:t>Condensed Consolidated Financial Statements</w:t>
      </w:r>
      <w:r>
        <w:rPr>
          <w:rFonts w:ascii="Times New Roman;serif" w:hAnsi="Times New Roman;serif"/>
          <w:b w:val="false"/>
          <w:color w:val="000000"/>
          <w:sz w:val="18"/>
        </w:rPr>
        <w:t xml:space="preserve">, had been completed at the beginning of the periods presented or of what our future results of operations are likely to be. </w:t>
      </w:r>
    </w:p>
    <w:p>
      <w:pPr>
        <w:pStyle w:val="TextBody"/>
        <w:bidi w:val="0"/>
        <w:spacing w:lineRule="auto" w:line="288" w:before="160" w:after="160"/>
        <w:jc w:val="both"/>
        <w:rPr>
          <w:rFonts w:ascii="Times New Roman;serif" w:hAnsi="Times New Roman;serif"/>
          <w:b/>
          <w:color w:val="000000"/>
          <w:sz w:val="18"/>
        </w:rPr>
      </w:pPr>
      <w:r>
        <w:rPr>
          <w:rFonts w:ascii="Times New Roman;serif" w:hAnsi="Times New Roman;serif"/>
          <w:b/>
          <w:color w:val="000000"/>
          <w:sz w:val="18"/>
        </w:rPr>
        <w:t>Market Conditions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Oil and gas play a critical role in enabling modern society to function and providing increased standards of living to the global population. We believe that oil and gas will continue to play a leading role in the future global energy mix. While the world will take the needed efforts to diversify its energy supply into renewables and more sustainable forms of energy, including nuclear, the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36700"/>
                <wp:effectExtent l="0" t="0" r="0" b="0"/>
                <wp:wrapNone/>
                <wp:docPr id="28" name="Frame28"/>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Energy Agency estimates that oil and gas will nonetheless comprise 45% of global energy supply in 2050 and that global energy consumption is expected to increase to 533 exajoules by 2050, a 20% increase from 2023 levels and a 41% increase from 2010 levels.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Our business is driven by the number of drilling rigs working globally onshore and offshore (particularly those drilling rigs on which our equipment is installed), which in turn is driven by oil and gas demand, levels of global drilling activity and spending by E&amp;P operators associated with supplying oil and gas. As demand for contracted drilling rigs increases, our customers may seek to replace existing equipment that is in need of major refurbishment or no longer operational, upgrade the capacities of their existing drilling rigs with our highly engineered, integrated drilling solutions or retrofit a new comprehensive drilling package or entire newbuild drilling rig. We provide ongoing aftermarket services and spare part sales on drilling rigs with our installed equipment, as well as rigs with equipment from other original equipment manufacturers, allowing us to capture recurring revenues throughout the lifecycle of a drilling rig.</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As drilling rigs work and age, and as increasingly complex wells generate more wear-and-tear, we benefit from the resulting additional demand for our products, aftermarket services and spare parts. Historically, we have seen aftermarket-driven demand growth as offshore drilling activity increases, and we expect that pattern to continue. Additionally, as our customers bring offshore rigs that are warm stacked or cold stacked back into service, the revenue base for our aftermarket services and spare parts increases. This is in addition to our benefitting from the revenue opportunities from equipment upgrades associated with such reactivations.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Demand related to onshore oil and gas drilling activity tends to be shorter cycle and regionally focused as each market may have specific dynamics that vary from location to location. Since the cyclical trough in activity during the last commodity price decline and COVID-19, the total number of active land rigs has increased and, in the key Middle East market, the demand for modern, high-spec land rigs capable of supporting complex drilling operations has resulted in newbuild opportunities. In the North American unconventional market, efficiency gains in drilling and completion activity have resulted in production increasing without a corresponding increase in rig counts implying each active rig is drilling more wells and more footage in a given period than previously. This increased cadence of drilling activity in challenging subsurface environments and more complex, longer lateral wells create increased wear-and-tear on equipment, resulting in additional demand for our products, aftermarket services and spare parts.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continue to operate in a volatile geopolitical environment, including recent escalations in the conflict in the Middle East and disruptions across key energy corridors, including the Strait of Hormuz. These developments have heightened uncertainty around global energy supply and prices. These factors may drive short-term volatility in certain regional markets, particularly onshore and jack-up activities in the Middle East. However, our business mix is increasingly weighted towards long-term offshore projects outside of the Middle East, which are advancing largely as planned. Supported by improving offshore drilling activity, we have seen growth in backlog and higher utilization of our products and services, reinforcing our overall positive outlook for global oil and gas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36700"/>
                <wp:effectExtent l="0" t="0" r="0" b="0"/>
                <wp:wrapNone/>
                <wp:docPr id="29" name="Frame29"/>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color w:val="000000"/>
          <w:sz w:val="18"/>
          <w:u w:val="single"/>
        </w:rPr>
      </w:pPr>
      <w:r>
        <w:rPr>
          <w:rFonts w:ascii="Times New Roman;serif" w:hAnsi="Times New Roman;serif"/>
          <w:b/>
          <w:color w:val="000000"/>
          <w:sz w:val="18"/>
          <w:u w:val="single"/>
        </w:rPr>
        <w:t>Consolidated Results of Operations</w:t>
      </w:r>
    </w:p>
    <w:p>
      <w:pPr>
        <w:pStyle w:val="TextBody"/>
        <w:bidi w:val="0"/>
        <w:spacing w:lineRule="auto" w:line="288" w:before="160" w:after="160"/>
        <w:jc w:val="both"/>
        <w:rPr/>
      </w:pPr>
      <w:r>
        <w:rPr>
          <w:rFonts w:ascii="Times New Roman;serif" w:hAnsi="Times New Roman;serif"/>
          <w:b w:val="false"/>
          <w:color w:val="000000"/>
          <w:sz w:val="18"/>
        </w:rPr>
        <w:t xml:space="preserve">The following table sets forth certain </w:t>
      </w:r>
      <w:r>
        <w:rPr>
          <w:rFonts w:ascii="Times New Roman;serif" w:hAnsi="Times New Roman;serif"/>
          <w:b w:val="false"/>
          <w:i/>
          <w:color w:val="000000"/>
          <w:sz w:val="18"/>
        </w:rPr>
        <w:t>Condensed Consolidated Statement of Income</w:t>
      </w:r>
      <w:r>
        <w:rPr>
          <w:color w:val="000000"/>
        </w:rPr>
        <w:t xml:space="preserve"> </w:t>
      </w:r>
      <w:r>
        <w:rPr>
          <w:rFonts w:ascii="Times New Roman;serif" w:hAnsi="Times New Roman;serif"/>
          <w:b w:val="false"/>
          <w:color w:val="000000"/>
          <w:sz w:val="18"/>
        </w:rPr>
        <w:t>data:</w:t>
      </w:r>
    </w:p>
    <w:tbl>
      <w:tblPr>
        <w:tblW w:w="8671" w:type="dxa"/>
        <w:jc w:val="left"/>
        <w:tblInd w:w="0" w:type="dxa"/>
        <w:tblLayout w:type="fixed"/>
        <w:tblCellMar>
          <w:top w:w="28" w:type="dxa"/>
          <w:left w:w="28" w:type="dxa"/>
          <w:bottom w:w="28" w:type="dxa"/>
          <w:right w:w="28" w:type="dxa"/>
        </w:tblCellMar>
      </w:tblPr>
      <w:tblGrid>
        <w:gridCol w:w="1250"/>
        <w:gridCol w:w="1095"/>
        <w:gridCol w:w="1104"/>
        <w:gridCol w:w="215"/>
        <w:gridCol w:w="708"/>
        <w:gridCol w:w="119"/>
        <w:gridCol w:w="119"/>
        <w:gridCol w:w="119"/>
        <w:gridCol w:w="119"/>
        <w:gridCol w:w="215"/>
        <w:gridCol w:w="708"/>
        <w:gridCol w:w="119"/>
        <w:gridCol w:w="109"/>
        <w:gridCol w:w="109"/>
        <w:gridCol w:w="109"/>
        <w:gridCol w:w="196"/>
        <w:gridCol w:w="736"/>
        <w:gridCol w:w="109"/>
        <w:gridCol w:w="109"/>
        <w:gridCol w:w="109"/>
        <w:gridCol w:w="109"/>
        <w:gridCol w:w="196"/>
        <w:gridCol w:w="73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92,332 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revenue</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342,143 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401,887 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sold</w:t>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58,766 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63,671 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120,749 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products</w:t>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16,527 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53,422 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 – spare parts</w:t>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sales</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109,524 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151,545 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226,157 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293,428 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60,354 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29,441 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65,679 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 (income), net</w:t>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175,653 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182,707 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327,811 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365,130 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(4,831)</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20,750 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36,757 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non-operating income (loss), net</w:t>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(9,525)</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14,926 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26,060 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(5,158)</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(10,414)</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15,646 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erif" w:hAnsi="Times New Roman;serif"/>
          <w:b/>
          <w:i/>
          <w:color w:val="000000"/>
          <w:sz w:val="18"/>
        </w:rPr>
        <w:t>Revenue:</w:t>
      </w:r>
      <w:r>
        <w:rPr>
          <w:color w:val="000000"/>
        </w:rPr>
        <w:t xml:space="preserve"> </w:t>
      </w:r>
      <w:r>
        <w:rPr>
          <w:rFonts w:ascii="Times New Roman;serif" w:hAnsi="Times New Roman;serif"/>
          <w:b w:val="false"/>
          <w:color w:val="000000"/>
          <w:sz w:val="18"/>
        </w:rPr>
        <w:t>The following table sets forth disaggregated revenue by segment:</w:t>
      </w:r>
    </w:p>
    <w:tbl>
      <w:tblPr>
        <w:tblW w:w="7218" w:type="dxa"/>
        <w:jc w:val="left"/>
        <w:tblInd w:w="0" w:type="dxa"/>
        <w:tblLayout w:type="fixed"/>
        <w:tblCellMar>
          <w:top w:w="28" w:type="dxa"/>
          <w:left w:w="28" w:type="dxa"/>
          <w:bottom w:w="28" w:type="dxa"/>
          <w:right w:w="28" w:type="dxa"/>
        </w:tblCellMar>
      </w:tblPr>
      <w:tblGrid>
        <w:gridCol w:w="722"/>
        <w:gridCol w:w="634"/>
        <w:gridCol w:w="639"/>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 ESS</w:t>
            </w:r>
          </w:p>
        </w:tc>
        <w:tc>
          <w:tcPr>
            <w:tcW w:w="19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56,722 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98,120 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 - ESS</w:t>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42,088 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78,199 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 - ESS</w:t>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30,942 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26,737 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56,769 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 - ESS</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97,660 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125,547 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198,350 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233,088 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 PCS</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35,257 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35,610 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63,113 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77,720 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 - PCS</w:t>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7,684 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16,886 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35,523 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Spare parts revenue - PCS</w:t>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55,556 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 - PCS</w:t>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73,162 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77,910 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168,799 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170,822 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203,457 </w:t>
            </w:r>
          </w:p>
        </w:tc>
        <w:tc>
          <w:tcPr>
            <w:tcW w:w="1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342,143 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401,887 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generate our revenue primarily from three broadly categorized offerings: (i) product revenue, which comprises revenue from sales of projects and products and includes (a) comprehensive drilling equipment packages containing a full suite of components needed for a newbuild or reactivated drilling rig and (b) individual or grouped components of drilling and pressure control equipment that facilitate customers maintaining and upgrading their existing fleet, (ii) service revenue, which comprises aftermarket services relating to installed equipment and integrated digital solutions, and (iii) spare parts revenue, which includes replacement spare parts. We also generate our revenue from related parties via sales to Baker Hughes and Akastor through its affiliates, which primarily consists of sales of products and services consistent in nature with those of external parties.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Total revenue decreased by $32.6 million, or 16.0%, and $59.7 million, or 14.9%, for the three and six months ended June 30, 2026, respectively, compared to the prior-year periods. The declines were primarily due to lower product and service revenues, partially offset by higher spare parts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36700"/>
                <wp:effectExtent l="0" t="0" r="0" b="0"/>
                <wp:wrapNone/>
                <wp:docPr id="30" name="Frame30"/>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Product revenue decreased by $38.4 million, or 65.1%, and $60.3 million, or 53.1%, for the three and six months ended June 30, 2026, respectively, compared to the prior-year periods, reflecting a lower backlog to start the quarter and partially due to a delay in equipment deliveries and installation and commissioning work in the Middle East.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Service revenue decreased by $3.3 million, or 3.5%, and $14.8 million, or 8.4%, for the three and six months ended June 30, 2026, respectively, compared to the prior-year periods, primarily due to decreases in repairs and other services, partially offset by stronger digital services volume. Spare parts revenue increased by $9.0 million, or 17.3%, and $15.4 million, or 13.7%, for the three and six months ended June 30, 2026, respectively, compared to the prior-year periods, due to an increase in spares demand.</w:t>
      </w:r>
    </w:p>
    <w:p>
      <w:pPr>
        <w:pStyle w:val="TextBody"/>
        <w:bidi w:val="0"/>
        <w:spacing w:lineRule="auto" w:line="288" w:before="160" w:after="160"/>
        <w:jc w:val="both"/>
        <w:rPr/>
      </w:pPr>
      <w:r>
        <w:rPr>
          <w:rFonts w:ascii="Times New Roman;serif" w:hAnsi="Times New Roman;serif"/>
          <w:b/>
          <w:i/>
          <w:color w:val="000000"/>
          <w:sz w:val="18"/>
        </w:rPr>
        <w:t xml:space="preserve">Cost of Sales: </w:t>
      </w:r>
      <w:r>
        <w:rPr>
          <w:rFonts w:ascii="Times New Roman;serif" w:hAnsi="Times New Roman;serif"/>
          <w:b w:val="false"/>
          <w:color w:val="000000"/>
          <w:sz w:val="18"/>
        </w:rPr>
        <w:t>Our cost of sales consists of costs related to the manufacturing and procurement of our products and projects in addition to the costs of our aftermarket services and spare parts. Cost of sales related to the manufacturing and procurement of our products and projects includes the cost of components sourced from third-party suppliers and direct and indirect costs to manufacture and supply products and projects, including labor, materials, machine time, lease expense related to our manufacturing facilities, freight and other variable manufacturing costs. Cost of services includes personnel expenses for our field service organization, lease expense related to our operations facilities, materials, vehicle expenses and freight and other variable costs. Cost of sales related to spare parts includes the cost of the spare parts inventory, personnel expenses, lease expense related to our facilities, inventory management expenses, freight and other variable costs.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Total cost of sales decreased by $42.0 million, or 27.7%, and $67.3 million, or 22.9%, for the three and six months ended June 30, 2026, respectively, compared to the prior-year periods. Cost of sales as a percentage of revenue decreased to 64.1% and 66.1% for the three and six months ended June 30, 2026, respectively, compared to 74.5% and 73.0% for the three and six months ended June 30, 2025, respectively. These decreases in cost of sales and cost of sales as a percentage of revenue were due to lower volume, revenue mix, continued cost optimization efforts and increased utilization.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Cost of services sold decreased by $4.9 million, or 7.7%, and $8.9 million, or 7.4%, for the three and six months ended June 30, 2026, respectively, compared to the prior-year periods. These decreases in cost of services sold were in line with the decrease in service revenue. Cost of services as a percentage of revenue was 66.0% and 69.4% for the three and six months ended June 30, 2026, respectively, compared to 69.0% and 68.7% for the three and six months ended June 30, 2025, respectively. These decreases in cost of sales and cost of sales as a percentage of revenue were due to lower volume, revenue mix, continued cost optimization efforts and increased utilization.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Cost of goods sold - products decreased by $36.9 million, or 69.1%, and $58.2 million, or 58.2%, for the three and six months ended June 30, 2026, respectively, compared to the prior-year periods. These decreases in cost of goods sold - products were in line with the decrease in product revenue. Cost of goods sold - products as a percentage of revenue decreased to 80.3% and 78.5% for the three and six months ended June 30, 2026, respectively, compared to 90.6% and 88.0% for the three and six months ended June 30, 2025, respectively. These decreases in cost of goods sold - products and cost of goods sold - products as a percentage of revenue were due to recognition of product and project revenue with higher margins driven by cost optimization efforts and the completion of contracts with unfavorable margins in 2025.</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Cost of goods sold – spare parts remained relatively flat for the three and six months ended June 30, 2026, compared to the corresponding periods in 2025. Cost of goods sold – spare parts as a percentage of spare parts revenue decreased to 56.0% and 56.7% for the three and six months ended June 30, 2026, respectively, compared to 66.1% and 64.6% for the three and six months ended June 30, 2025, respectively. These decreases in cost of goods sold – spare parts as a percentage of spare parts revenue were mainly due to volume mix.</w:t>
      </w:r>
    </w:p>
    <w:p>
      <w:pPr>
        <w:pStyle w:val="TextBody"/>
        <w:bidi w:val="0"/>
        <w:spacing w:lineRule="auto" w:line="288" w:before="160" w:after="160"/>
        <w:jc w:val="both"/>
        <w:rPr/>
      </w:pPr>
      <w:r>
        <w:rPr>
          <w:rFonts w:ascii="Times New Roman;serif" w:hAnsi="Times New Roman;serif"/>
          <w:b/>
          <w:i/>
          <w:color w:val="000000"/>
          <w:sz w:val="18"/>
        </w:rPr>
        <w:t>Selling, General and Administrative Expenses:</w:t>
      </w:r>
      <w:r>
        <w:rPr>
          <w:color w:val="000000"/>
        </w:rPr>
        <w:t xml:space="preserve"> </w:t>
      </w:r>
      <w:r>
        <w:rPr>
          <w:rFonts w:ascii="Times New Roman;serif" w:hAnsi="Times New Roman;serif"/>
          <w:b w:val="false"/>
          <w:color w:val="000000"/>
          <w:sz w:val="18"/>
        </w:rPr>
        <w:t>Selling, general and administrative expenses consist of costs such as sales and marketing, general corporate overhead, compensation expense, IT expenses, safety and environmental expenses, insurance costs, legal expenses and other related administrative functions.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expenses increased by $30.9 million, or 105.0%, and $29.8 million, or 45.4%, for the three and six months ended June 30, 2026, respectively, compared to the prior-year periods. These increases were primarily driven by pre-IPO stock-based compensation expense and employer portion of taxes on the associated award vestings of $22 million.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Excluding this IPO-related stock-based compensation expense, SG&amp;A expenses increased by $8.9 million, or 30.3%, for the three months ended June 30, 2026, and by $7.8 million, or 11.9%, for the six months ended June 30, 2026, compared to the prior-year periods. These increases were driven primarily by investments in the Company's commercial and back office organizations, including increased sales headcount, as well as higher insurance and marketing expenses stemming from our transition to and operation as a public company.</w:t>
      </w:r>
    </w:p>
    <w:p>
      <w:pPr>
        <w:pStyle w:val="TextBody"/>
        <w:bidi w:val="0"/>
        <w:spacing w:lineRule="auto" w:line="288" w:before="160" w:after="160"/>
        <w:jc w:val="both"/>
        <w:rPr/>
      </w:pPr>
      <w:r>
        <w:rPr>
          <w:rFonts w:ascii="Times New Roman;serif" w:hAnsi="Times New Roman;serif"/>
          <w:b/>
          <w:i/>
          <w:color w:val="000000"/>
          <w:sz w:val="18"/>
        </w:rPr>
        <w:t>Research and Development Expenses:</w:t>
      </w:r>
      <w:r>
        <w:rPr>
          <w:color w:val="000000"/>
        </w:rPr>
        <w:t xml:space="preserve"> </w:t>
      </w:r>
      <w:r>
        <w:rPr>
          <w:rFonts w:ascii="Times New Roman;serif" w:hAnsi="Times New Roman;serif"/>
          <w:b w:val="false"/>
          <w:color w:val="000000"/>
          <w:sz w:val="18"/>
        </w:rPr>
        <w:t>Research and development expenses consist of costs that are incurred in connection with the development of new cutting-edge technologies and solutions and the innovation of existing product and service offerings. Such costs include both the utilization of our employees, facilities and resources to create and develop new ideas and products and the engagement of third parties to perform development activities under our coordination and management.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Research and development expenses remained relatively flat for the three months ended June 30, 2026, compared to the three months ended June 30, 2025. For the six months ended June 30, 2026, research and development expenses decreased by $0.5 million, or 29.5%. This decrease was attributable mainly to the strategic deployment of development resources and the capitalization of development costs.</w:t>
      </w:r>
    </w:p>
    <w:p>
      <w:pPr>
        <w:pStyle w:val="TextBody"/>
        <w:bidi w:val="0"/>
        <w:spacing w:lineRule="auto" w:line="288" w:before="160" w:after="160"/>
        <w:jc w:val="both"/>
        <w:rPr/>
      </w:pPr>
      <w:r>
        <w:rPr>
          <w:rFonts w:ascii="Times New Roman;serif" w:hAnsi="Times New Roman;serif"/>
          <w:b/>
          <w:i/>
          <w:color w:val="000000"/>
          <w:sz w:val="18"/>
        </w:rPr>
        <w:t xml:space="preserve">Restructuring and Other Expenses (Income), Net: </w:t>
      </w:r>
      <w:r>
        <w:rPr>
          <w:rFonts w:ascii="Times New Roman;serif" w:hAnsi="Times New Roman;serif"/>
          <w:b w:val="false"/>
          <w:color w:val="000000"/>
          <w:sz w:val="18"/>
        </w:rPr>
        <w:t xml:space="preserve">Restructuring and other expenses consist of restructuring charges primarily related to manufacturing footprint optimization initiatives and other additional de minimis incidental operating expenses incurred by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36700"/>
                <wp:effectExtent l="0" t="0" r="0" b="0"/>
                <wp:wrapNone/>
                <wp:docPr id="31" name="Frame31"/>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Restructuring expenses for both the three and six months ended June 30, 2026 were $5.0 million, compared to $1.1 million and $4.3 million for the three and six months ended June 30, 2025, respectively, driven by our internal restructuring program and lease exit costs.</w:t>
      </w:r>
    </w:p>
    <w:p>
      <w:pPr>
        <w:pStyle w:val="TextBody"/>
        <w:bidi w:val="0"/>
        <w:spacing w:lineRule="auto" w:line="288" w:before="160" w:after="160"/>
        <w:jc w:val="both"/>
        <w:rPr/>
      </w:pPr>
      <w:r>
        <w:rPr>
          <w:rFonts w:ascii="Times New Roman;serif" w:hAnsi="Times New Roman;serif"/>
          <w:b/>
          <w:i/>
          <w:color w:val="000000"/>
          <w:sz w:val="18"/>
        </w:rPr>
        <w:t>Foreign Currency Gain (Loss), Net:</w:t>
      </w:r>
      <w:r>
        <w:rPr>
          <w:color w:val="000000"/>
        </w:rPr>
        <w:t xml:space="preserve"> </w:t>
      </w:r>
      <w:r>
        <w:rPr>
          <w:rFonts w:ascii="Times New Roman;serif" w:hAnsi="Times New Roman;serif"/>
          <w:b w:val="false"/>
          <w:color w:val="000000"/>
          <w:sz w:val="18"/>
        </w:rPr>
        <w:t>Foreign currency gain (loss), net consists of net gains or losses resulting from a change in exchange rates between the functional currency and the currency in which a foreign currency transaction is denominated. Our foreign subsidiaries, whose functional currency is the local currency, conduct a portion of their operations in U.S. dollars. As a result, these subsidiaries hold significant monetary assets denominated in U.S. dollars. These monetary assets are subject to changes in exchange rates between the U.S. dollar and the local currency.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change in foreign currency gain (loss) decreased by $3.5 million, or 120.0%, and $9.8 million, or 140.6%, for the three and six months ended June 30, 2026, respectively, compared to the prior-year periods. These unfavorable variances were attributable to currency exchange rate movements of the U.S. dollar to other currencies in which we transact.</w:t>
      </w:r>
    </w:p>
    <w:p>
      <w:pPr>
        <w:pStyle w:val="TextBody"/>
        <w:bidi w:val="0"/>
        <w:spacing w:lineRule="auto" w:line="276" w:before="0" w:after="0"/>
        <w:jc w:val="both"/>
        <w:rPr/>
      </w:pPr>
      <w:r>
        <w:rPr>
          <w:rFonts w:ascii="Times New Roman;serif" w:hAnsi="Times New Roman;serif"/>
          <w:b/>
          <w:i/>
          <w:color w:val="000000"/>
          <w:sz w:val="18"/>
        </w:rPr>
        <w:t>Interest Income (Expense), Net:</w:t>
      </w:r>
      <w:r>
        <w:rPr>
          <w:color w:val="000000"/>
        </w:rPr>
        <w:t xml:space="preserve"> </w:t>
      </w:r>
      <w:r>
        <w:rPr>
          <w:rFonts w:ascii="Times New Roman;serif" w:hAnsi="Times New Roman;serif"/>
          <w:b w:val="false"/>
          <w:color w:val="000000"/>
          <w:sz w:val="18"/>
        </w:rPr>
        <w:t>Interest expense, net primarily consists of interest expense associated with our long-term and short-term debt.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Interest expense, net decreased by $5.2 million, or 56.7%, and $7.4 million, or 40.4%, for the three and six months ended June 30, 2026, respectively, compared to the prior-year periods. These decreases were driven by the repayment of the Shareholder Loans in April 2026 upon completion of the IPO, and the refinancing of our 9.875% senior secured bonds due in 2026 with 7.875% senior secured bonds due in 2028 in December 2025.</w:t>
      </w:r>
    </w:p>
    <w:p>
      <w:pPr>
        <w:pStyle w:val="TextBody"/>
        <w:bidi w:val="0"/>
        <w:spacing w:lineRule="auto" w:line="288" w:before="160" w:after="160"/>
        <w:jc w:val="both"/>
        <w:rPr/>
      </w:pPr>
      <w:r>
        <w:rPr>
          <w:rFonts w:ascii="Times New Roman;serif" w:hAnsi="Times New Roman;serif"/>
          <w:b/>
          <w:i/>
          <w:color w:val="000000"/>
          <w:sz w:val="18"/>
        </w:rPr>
        <w:t>Income tax expense (benefit):</w:t>
      </w:r>
      <w:r>
        <w:rPr>
          <w:color w:val="000000"/>
        </w:rPr>
        <w:t xml:space="preserve"> </w:t>
      </w:r>
      <w:r>
        <w:rPr>
          <w:rFonts w:ascii="Times New Roman;serif" w:hAnsi="Times New Roman;serif"/>
          <w:b w:val="false"/>
          <w:color w:val="000000"/>
          <w:sz w:val="18"/>
        </w:rPr>
        <w:t>Income tax consists primarily of U.S. federal and state income taxes and income taxes in foreign jurisdictions in which we operate. For the three months ended June 30, 2026, we recorded a tax benefit of $4.5 million, resulting in an effective tax rate of 47.3%, compared to a tax provision of $5.2 million and an effective tax rate of 34.6% for the three months ended June 30, 2025. For the six months ended June 30, 2026, the tax provision was $1.3 million, resulting in an effective tax rate of 666.3%, compared to a tax provision of $10.4 million and an effective tax rate of 40.0% for the six months ended June 30, 2025.</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These fluctuating effective rates were heavily driven by valuation allowances on losses in certain foreign jurisdictions where tax benefits cannot currently be realized, along with the ongoing impacts of localized withholding taxes, statutory jurisdictional rate differentials, and pass-through non-controlling interests related to U.S. income taxed at the owner level. For the three and six months ended June 30, 2026, our income tax included the impact of a $22.5 million stock-based compensation expense related to pre-IPO stock-based awards. For the six months ended June 30, 2026, our income tax also included $0.5 million of IPO related transaction costs. Excluding the impact of the stock-based compensation expense and IPO related costs, our adjusted effective tax rate for the three and six months ended June 30, 2026 would have been 25.0% and 39.2%,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16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operations by type of activity were as follows: </w:t>
      </w:r>
    </w:p>
    <w:tbl>
      <w:tblPr>
        <w:tblW w:w="6158" w:type="dxa"/>
        <w:jc w:val="left"/>
        <w:tblInd w:w="0" w:type="dxa"/>
        <w:tblLayout w:type="fixed"/>
        <w:tblCellMar>
          <w:top w:w="28" w:type="dxa"/>
          <w:left w:w="28" w:type="dxa"/>
          <w:bottom w:w="28" w:type="dxa"/>
          <w:right w:w="28" w:type="dxa"/>
        </w:tblCellMar>
      </w:tblPr>
      <w:tblGrid>
        <w:gridCol w:w="1380"/>
        <w:gridCol w:w="1212"/>
        <w:gridCol w:w="1217"/>
        <w:gridCol w:w="196"/>
        <w:gridCol w:w="646"/>
        <w:gridCol w:w="109"/>
        <w:gridCol w:w="109"/>
        <w:gridCol w:w="109"/>
        <w:gridCol w:w="109"/>
        <w:gridCol w:w="196"/>
        <w:gridCol w:w="721"/>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(7,552)</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(5,913)</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(15,465)</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activities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54"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Increase (decrease) in cash and cash equivalents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23,120 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(10,499)</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Operating Activities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increased by $32.7 million in the first six months of 2026, compared to the corresponding period in 2025, mainly due to a $39.2 million increase from changes in operating assets and liabilities, a $10.3 million increase in non-cash items and a $16.8 million increase in net loss.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favorable variance in non-cash expenses was driven by the recognition of share-based compensation expenses upon completion of the IPO, which was offset by favorable changes in deferred tax expenses, paid-in-kind interest, restructuring and other expenses, and a provision for inventory write-down.</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The increase in cash resulting from the changes in assets and liabilities was primarily driven by increases in accounts payable and accrued expenses. The increase in accounts payable and accounts payable - related party was primarily due to timing of vendor payments in prior periods as 2025 had significant outflows to satisfy outstanding payable obligations. The increase in accrued expenses is driven by timing of incurred expenses in each of the relative periods. </w:t>
      </w:r>
    </w:p>
    <w:p>
      <w:pPr>
        <w:pStyle w:val="TextBody"/>
        <w:bidi w:val="0"/>
        <w:spacing w:lineRule="auto" w:line="288" w:before="0" w:after="160"/>
        <w:jc w:val="left"/>
        <w:rPr>
          <w:rFonts w:ascii="Times New Roman;serif" w:hAnsi="Times New Roman;serif"/>
          <w:b/>
          <w:i/>
          <w:color w:val="000000"/>
          <w:sz w:val="18"/>
        </w:rPr>
      </w:pPr>
      <w:r>
        <w:rPr>
          <w:rFonts w:ascii="Times New Roman;serif" w:hAnsi="Times New Roman;serif"/>
          <w:b/>
          <w:i/>
          <w:color w:val="000000"/>
          <w:sz w:val="18"/>
        </w:rPr>
        <w:t xml:space="preserve">Investing Activities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increased by $2.8 million in the first six months of 2026, compared to the corresponding period in 2025. The increase in net cash used in investing activities was principally the result of a $4.8 million increase in development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36700"/>
                <wp:effectExtent l="0" t="0" r="0" b="0"/>
                <wp:wrapNone/>
                <wp:docPr id="32" name="Frame32"/>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offset by a $2.8 million decrease in purchases of property, plant and equipment and $0.8 million of Deep Blue acquisition working capital remeasurement period adjustments in the first six months of 2026.</w:t>
      </w:r>
    </w:p>
    <w:p>
      <w:pPr>
        <w:pStyle w:val="TextBody"/>
        <w:bidi w:val="0"/>
        <w:spacing w:lineRule="auto" w:line="288" w:before="160" w:after="160"/>
        <w:jc w:val="left"/>
        <w:rPr>
          <w:rFonts w:ascii="Times New Roman;serif" w:hAnsi="Times New Roman;serif"/>
          <w:b/>
          <w:i/>
          <w:color w:val="000000"/>
          <w:sz w:val="18"/>
        </w:rPr>
      </w:pPr>
      <w:r>
        <w:rPr>
          <w:rFonts w:ascii="Times New Roman;serif" w:hAnsi="Times New Roman;serif"/>
          <w:b/>
          <w:i/>
          <w:color w:val="000000"/>
          <w:sz w:val="18"/>
        </w:rPr>
        <w:t xml:space="preserve">Financing Activities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 was $6.6 million in the first six months of 2026 compared to net cash used in financing activities of $2.0 million. The increase in cash provided by financing activities was primarily driven by the receipt of $210.7 million in net proceeds from our IPO in 2026. This increase was partially offset by a $137.1 million repayment of related-party long-term debt, a $39.5 million purchase of B.V. Voting Shares from Baker Hughes and Akastor, a $12.9 million purchase of Holding Inc. and Holding B.V. shares as part of the greenshoe exercise, a $10.4 million of deferred IPO cost paid, and $4.9 million in payments for treasury shares in 2026. In the prior year period, financing cash outflows were primarily driven by the repayment of our outstanding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before="160" w:after="160"/>
        <w:jc w:val="both"/>
        <w:rPr/>
      </w:pPr>
      <w:r>
        <w:rPr>
          <w:rFonts w:ascii="Times New Roman;serif" w:hAnsi="Times New Roman;serif"/>
          <w:b/>
          <w:i/>
          <w:color w:val="000000"/>
          <w:sz w:val="18"/>
        </w:rPr>
        <w:t>Adjusted EBITDA and Adjusted EBITDA Margin.</w:t>
      </w:r>
      <w:r>
        <w:rPr>
          <w:color w:val="000000"/>
        </w:rPr>
        <w:t xml:space="preserve">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use Adjusted EBITDA and Adjusted EBITDA Margin (each, a non-GAAP measure) as one of the indicators to evaluate and compare the results of our operations from period to period by removing the effect of our capital structure and certain non-recurring items. We define Adjusted EBITDA as net income before interest expense, net, income tax expense, depreciation and amortization, IPO listing related cost and other non-recurring items. Management does not consider these non-recurring items to be indicative of our ongoing operating performance measure, and such items include, but are not limited to, restructuring and other operating expenses and foreign exchange currency (gain) loss. We track Adjusted EBITDA on an absolute dollar basis and as a percentage of revenue, which we refer to as Adjusted EBITDA Margin. We define Adjusted EBITDA Margin as Adjusted EBITDA divided by revenue. We believe that Adjusted EBITDA is a supplemental measurement tool used by analysts and investors to evaluate overall operating performance, ability to pursue and service possible debt opportunities and possible future investment opportunities. In addition, we believe that Adjusted EBITDA Margin is a supplemental measurement tool used by analysts and investors to evaluate profitability of sales. Adjusted EBITDA does not represent funds available for our discretionary use and is not intended to represent or to be used as a substitute for net income, as measured in accordance with generally accepted accounting principles in the United States of America ("GAAP"). The items excluded from Adjusted EBITDA and Adjusted EBITDA Margin, but included in the calculation of reported net income, are significant components of the consolidated statements of income and must be considered in performing a comprehensive assessment of overall financial performance.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believe that the disclosure of Adjusted EBITDA and Adjusted EBITDA Margin offers additional financial metrics that, when coupled with the GAAP results and the reconciliation to GAAP results, provide a more complete understanding of our results of operations and the factors and trends affecting our business.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net income to Adjusted EBITDA and Adjusted EBITDA Margin:</w:t>
      </w:r>
    </w:p>
    <w:tbl>
      <w:tblPr>
        <w:tblW w:w="8252" w:type="dxa"/>
        <w:jc w:val="left"/>
        <w:tblInd w:w="0" w:type="dxa"/>
        <w:tblLayout w:type="fixed"/>
        <w:tblCellMar>
          <w:top w:w="28" w:type="dxa"/>
          <w:left w:w="28" w:type="dxa"/>
          <w:bottom w:w="28" w:type="dxa"/>
          <w:right w:w="28" w:type="dxa"/>
        </w:tblCellMar>
      </w:tblPr>
      <w:tblGrid>
        <w:gridCol w:w="1024"/>
        <w:gridCol w:w="901"/>
        <w:gridCol w:w="9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301"/>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15,646 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Add: Interest expense, net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10,898 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18,285 </w:t>
            </w:r>
          </w:p>
        </w:tc>
        <w:tc>
          <w:tcPr>
            <w:tcW w:w="3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5,158 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10,414 </w:t>
            </w:r>
          </w:p>
        </w:tc>
        <w:tc>
          <w:tcPr>
            <w:tcW w:w="3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10,682 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20,993 </w:t>
            </w:r>
          </w:p>
        </w:tc>
        <w:tc>
          <w:tcPr>
            <w:tcW w:w="3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Share-based compensation </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22,775 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expenses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(gain) loss, net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(6,941)</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IPO listing related cost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33,856 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32,838 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63,937 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62,740 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as a % of revenue</w:t>
            </w:r>
          </w:p>
        </w:tc>
        <w:tc>
          <w:tcPr>
            <w:tcW w:w="84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0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Adjusted EBITDA Margin (a)</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360"/>
        <w:jc w:val="both"/>
        <w:rPr>
          <w:rFonts w:ascii="Times New Roman;serif" w:hAnsi="Times New Roman;serif"/>
          <w:b w:val="false"/>
          <w:i/>
          <w:color w:val="000000"/>
          <w:sz w:val="15"/>
        </w:rPr>
      </w:pPr>
      <w:r>
        <w:rPr>
          <w:rFonts w:ascii="Times New Roman;serif" w:hAnsi="Times New Roman;serif"/>
          <w:b w:val="false"/>
          <w:i/>
          <w:color w:val="000000"/>
          <w:sz w:val="15"/>
        </w:rPr>
        <w:t>(a).Calculated as a percentage of total revenue.</w:t>
      </w:r>
    </w:p>
    <w:p>
      <w:pPr>
        <w:pStyle w:val="TextBody"/>
        <w:bidi w:val="0"/>
        <w:spacing w:lineRule="auto" w:line="288" w:before="160" w:after="160"/>
        <w:jc w:val="both"/>
        <w:rPr/>
      </w:pPr>
      <w:r>
        <w:rPr>
          <w:rFonts w:ascii="Times New Roman;serif" w:hAnsi="Times New Roman;serif"/>
          <w:b/>
          <w:i/>
          <w:color w:val="000000"/>
          <w:sz w:val="18"/>
        </w:rPr>
        <w:t>Free Cash Flow.</w:t>
      </w:r>
      <w:r>
        <w:rPr>
          <w:color w:val="000000"/>
        </w:rPr>
        <w:t xml:space="preserve"> </w:t>
      </w:r>
      <w:r>
        <w:rPr>
          <w:rFonts w:ascii="Times New Roman;serif" w:hAnsi="Times New Roman;serif"/>
          <w:b w:val="false"/>
          <w:color w:val="000000"/>
          <w:sz w:val="18"/>
        </w:rPr>
        <w:t xml:space="preserve">We use Free Cash Flow (a non-GAAP measure) to evaluate our liquidity to provide flexibility and optionality to achieve our broader capital allocation strategy. We define Free Cash Flow as cash flow from operations minus purchases of property and equipment and development costs and excluding the impact of one time non-cash IPO related expenses. Management believes that Free Cash Flow is a meaningful indicator of liquidity that provides information to our management and investors about the amount of cash generated from operations, after purchases of property and equipment that can be used for investment in our business and for acquisitions as well as to strengthen our balance sheet. Free Cash Flow has limitations as an analytical tool and should not be considered in isolation or as a substitute for analysis of other GAAP financial measures, such as net cash provided by (used in) operating activities. Free Cash Flow does not reflect our ability to meet future contractual commitments and may be calculated differently by other companies in our industry, limiting its usefulness as a comparative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36700"/>
                <wp:effectExtent l="0" t="0" r="0" b="0"/>
                <wp:wrapNone/>
                <wp:docPr id="33" name="Frame33"/>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net cash provided by (used in) operating activities to Free Cash Flow:</w:t>
      </w:r>
    </w:p>
    <w:tbl>
      <w:tblPr>
        <w:tblW w:w="6555" w:type="dxa"/>
        <w:jc w:val="left"/>
        <w:tblInd w:w="0" w:type="dxa"/>
        <w:tblLayout w:type="fixed"/>
        <w:tblCellMar>
          <w:top w:w="28" w:type="dxa"/>
          <w:left w:w="28" w:type="dxa"/>
          <w:bottom w:w="28" w:type="dxa"/>
          <w:right w:w="28" w:type="dxa"/>
        </w:tblCellMar>
      </w:tblPr>
      <w:tblGrid>
        <w:gridCol w:w="1435"/>
        <w:gridCol w:w="1260"/>
        <w:gridCol w:w="1264"/>
        <w:gridCol w:w="196"/>
        <w:gridCol w:w="646"/>
        <w:gridCol w:w="109"/>
        <w:gridCol w:w="109"/>
        <w:gridCol w:w="109"/>
        <w:gridCol w:w="109"/>
        <w:gridCol w:w="196"/>
        <w:gridCol w:w="721"/>
        <w:gridCol w:w="401"/>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(7,552)</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160" w:after="160"/>
              <w:jc w:val="left"/>
              <w:rPr>
                <w:rFonts w:ascii="Times New Roman;serif" w:hAnsi="Times New Roman;serif"/>
                <w:b w:val="false"/>
                <w:color w:val="000000"/>
                <w:sz w:val="18"/>
              </w:rPr>
            </w:pPr>
            <w:r>
              <w:rPr>
                <w:rFonts w:ascii="Times New Roman;serif" w:hAnsi="Times New Roman;serif"/>
                <w:b w:val="false"/>
                <w:color w:val="000000"/>
                <w:sz w:val="18"/>
              </w:rPr>
              <w:t>Add: Purchases of property and equipment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(4,840)</w:t>
            </w:r>
          </w:p>
        </w:tc>
        <w:tc>
          <w:tcPr>
            <w:tcW w:w="401"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costs</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Non-cash IPO related settlement</w:t>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26,715 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(13,465)</w:t>
            </w:r>
          </w:p>
        </w:tc>
        <w:tc>
          <w:tcPr>
            <w:tcW w:w="4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6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We believe that our existing cash on hand, cash generated from operations and available capacity under the Revolver (as defined herein) and the Senior Secured Bonds (as defined herein) will be sufficient to meet our liquidity needs in the short term and long term. Our ability to satisfy our liquidity requirements depends on our future operating performance, which is affected by prevailing economic conditions, market conditions in the oil and natural gas industry, availability and cost of raw materials and other factors, many of which are beyond our control.</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Our financial objectives include the maintenance of sufficient liquidity, adequate financial resources and financial flexibility to fund our business. Our primary sources of liquidity are our existing cash on hand and cash generated from operations. Depending upon market conditions, we may take any of the following steps, or a combination thereof, to improve our liquidity and financial position by incurring borrowings under our Revolver, issuing additional senior secured bonds in an aggregate principal amount up to $125.0 million or entering into separate bridge financing facilities as permitted by the terms of our existing Senior Secured Bonds. </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we had $119.7 million in cash and cash equivalents and Revolver capacity of $75 million resulting in approximately $195 million of total liquidity. As of June 30, 2026, we have $1.5 million of borrowings under the Credit Line in China due in the next 12 months, and we have no long-term debt maturity until June 2028.</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7.875% Senior Secured Bonds due 2028</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or around December 17, 2025, the Company issued $200.0 million aggregate principal amount of its senior secured bonds (ISIN code NO0013700039) (the “Senior Secured Bonds due 2028”), which mature on December 17, 2028. Interest on the bonds accrues at a fixed rate of 7.875% per annum as of June 30, 2026. The Senior Secured Bonds due 2028 are secured by liens on substantially all of the Company’s assets, including the equity of its material subsidiaries, and guarantees, either directly or indirectly, from its material subsidiaries. The security of the Senior Secured Bonds due 2028 is subject to an intercreditor agreement with the facility agent under the Revolver. Subject to compliance with certain conditions, the Company is permitted to issue additional bonds under the agreement governing the Senior Secured Bonds due 2028 in an aggregate principal amount up to $125.0 million, and the Company is also permitted to enter into certain bridge financing facilities. The Senior Secured Bonds due 2028 were listed on the Euronext ABM in the second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agreement governing the Senior Secured Bonds due 2028 includes customary representations and warranties, affirmative covenants and certain restrictive covenants that may limit the Company’s ability to, among other things, incur additional indebtedness, guarantee obligations, incur liens, make investments, loans or capital expenditures, sell or dispose of assets, enter into mergers or consolidations, enter into transactions with affiliates or make or declare dividends. The Senior Secured Bonds due 2028 also require the Company to maintain at all times a minimum liquidity of not less than $30.0 million, a gearing ratio of Consolidated Net Total Borrowings to Consolidated Total Equity (each as defined in the agreement governing the Senior Secured Bonds due 2028) not to exceed 1.00 to 1.00 and an interest cover ratio of Adjusted EBITDA to Net Interest Expenses (each as defined in the agreement governing the Senior Secured Bonds due 2028) of not less than 2.50 to 1.00. The agreement governing the Senior Secured Bonds due 2028 contains customary events of default. If an event of default exists under the Senior Secured Bonds due 2028, the lenders will be able to accelerate the maturity of the Senior Secured Bonds due 2028 and exercise other rights and remedies. If an event of default exists under the Revolver, a cross-default will be triggered under the Senior Secured Bonds due 2028, and the bondholders thereunder will be able to accelerate the maturity of the Senior Secured Bonds due 2028 and exercise other rights and remedies.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Company was in compliance with all financial covenants under the Senior Secured Bonds due 2028.</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Shareholder Loans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2021, the Company entered into a loan agreement with related parties, Baker Hughes Holdings LLC and Akastor AS (as amended, the “Shareholder Loan Agreement”), to finance its operating and financing activities. Baker Hughes Holdings LLC provided an $80.0 million term loan under the Shareholder Loan Agreement (the “Baker Hughes Shareholder Loan”), and Akastor AS provided a $20.0 million term loan under the Shareholder Loan Agreement (together with the Baker Hughes Shareholder Loan, the “Shareholder Loans”). The Shareholder Loans mature on the earliest to occur of December 18, 2028 or a liquidation event (as defined in the Shareholder Loan Agreement) such as the consummation of the IPO. In connection with the closing of the IPO in April 2026, the Company repaid the Shareholder Loans from the net proceeds received from the IPO.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36700"/>
                <wp:effectExtent l="0" t="0" r="0" b="0"/>
                <wp:wrapNone/>
                <wp:docPr id="34" name="Frame34"/>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Revolving Credit Facility</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December 18, 2025, the Company, DNB Bank ASA, as agent, certain financial institutions party thereto as lenders (the “Revolver Lenders”) and DNB Carnegie, a part of DNB Bank ASA, and Nordea Bank Abp, branch in Norway, as mandated lead arrangers and bookrunners, entered into a senior facility agreement (the “Revolver”) pursuant to which the Revolver Lenders provide revolving credit financing to the Company in an aggregate principal amount of up to $75.0 million. The scheduled maturity date of the Revolver is June 17, 2028.</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Borrowings under the Revolver bear interest at the compounded reference rate, which is the applicable Secured Overnight Financing Rate (“SOFR”) plus the applicable credit spread adjustment, plus a margin ranging from 3.00% to 4.00% based on the Company’s most recent leverage ratio. In addition to paying interest on outstanding principal under the Revolver, the Company is required to pay a quarterly commitment fee equal to 40% of the applicable margin on the unused available commitments.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Revolver is secured by liens on substantially all of the Company’s assets, including the equity of its material subsidiaries, and guarantees, either directly or indirectly, from its material subsidiaries. The security of the Revolver is subject to an intercreditor agreement with the trustee under the Senior Secured Bonds due 2028. The Revolver includes certain restrictive covenants that may limit the Company’s ability to, among other things, incur additional indebtedness, guarantee obligations, incur liens, make investments, loans or capital expenditures, sell or dispose of assets, enter into mergers or consolidations, enter into transactions with affiliates or make or declare dividends. The Revolver also requires the Company to maintain at all times a minimum liquidity of not less than $30.0 million, a gearing ratio of Consolidated Net Total Borrowings to Consolidated Total Equity (each as defined in the Revolver) not to exceed 1.00 to 1.00 and an interest cover ratio of Adjusted EBITDA to Net Interest Expenses (each as defined in the Revolver) of not less than 2.50 to 1.00. The Revolver contains customary representations and warranties, affirmative covenants and events of default. If an event of default exists under the Revolver, the Revolver Lenders will be able to accelerate the maturity of the Revolver and exercise other rights and remedies. If an event of default exists under the Senior Secured Bonds due 2028, a cross-default will be triggered under the Revolver, and the Revolver Lenders will be able to accelerate the maturity of the Revolver and exercise other rights and remedies. Subject to certain notice requirements and certain partial prepayment amount restrictions, the Company may voluntarily prepay outstanding loans under the Revolver in whole or in part without premium or penalty. Following a Change of Control (as defined in the Revolver), which definition varies depending on whether an initial public offering has occurred, the Company can be required to prepay the loans in whole if the parties do not reach an agreement to continue the loan. As of June 30, 2026, the Company was in compliance with all financial covenants under the Revolver.</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Credit Line in China</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March 27, 2025, the Company extended its credit line agreement (the “Credit Line in China”) with Bank of China Shanghai Pudong branch (the “Credit Line in China Lender”) pursuant to which the Credit Line in China Lender provided a credit line in an aggregate principal amount of up to Chinese renminbi (RMB) 10.0 million (USD: $1.47 million based on the exchange rate as of June 30, 2026). The extension period was valid through March 26, 2026, with the Company retaining a one-year period from each respective withdrawal date to remit payment. Borrowings under the Credit Line in China bear interest at the compounded reference rate, which was the applicable China Loan Prime Rate minus margin of 0.4% as of June 30, 2026. Interest is paid quarterly in the last month of each quarter. There is no quarterly commitment fee or guarantee requirement based on the Company’s financial status. The borrowing length for each withdrawal is one year. The Credit Line in China was available to use for the Company’s daily operations and could not be used to purchase real estate, re-lend to other companies or make investments.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36700"/>
                <wp:effectExtent l="0" t="0" r="0" b="0"/>
                <wp:wrapNone/>
                <wp:docPr id="35" name="Frame35"/>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Critical accounting policies are those accounting policies that management believes are important to the portrayal of our financial condition and results of operations. There have been no material changes from the critical accounting policies previously disclosed in the section entitled “Critical accounting policies and estimates” in the Final Prospectus.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160"/>
        <w:jc w:val="both"/>
        <w:rPr/>
      </w:pPr>
      <w:r>
        <w:rPr>
          <w:rFonts w:ascii="Times New Roman;serif" w:hAnsi="Times New Roman;serif"/>
          <w:b w:val="false"/>
          <w:color w:val="000000"/>
          <w:sz w:val="18"/>
        </w:rPr>
        <w:t xml:space="preserve">See “New Accounting Standards to be Adopted” in </w:t>
      </w:r>
      <w:r>
        <w:rPr>
          <w:rFonts w:ascii="Times New Roman;serif" w:hAnsi="Times New Roman;serif"/>
          <w:b w:val="false"/>
          <w:i/>
          <w:color w:val="000000"/>
          <w:sz w:val="18"/>
        </w:rPr>
        <w:t>Note 1—“Basis of Presentation and Summary of Significant Accounting Policies”</w:t>
      </w:r>
      <w:r>
        <w:rPr>
          <w:color w:val="000000"/>
        </w:rPr>
        <w:t xml:space="preserve"> </w:t>
      </w:r>
      <w:r>
        <w:rPr>
          <w:rFonts w:ascii="Times New Roman;serif" w:hAnsi="Times New Roman;serif"/>
          <w:b w:val="false"/>
          <w:color w:val="000000"/>
          <w:sz w:val="18"/>
        </w:rPr>
        <w:t xml:space="preserve">in the notes to the </w:t>
      </w:r>
      <w:r>
        <w:rPr>
          <w:rFonts w:ascii="Times New Roman;serif" w:hAnsi="Times New Roman;serif"/>
          <w:b w:val="false"/>
          <w:i/>
          <w:color w:val="000000"/>
          <w:sz w:val="18"/>
        </w:rPr>
        <w:t>Condensed Consolidated Financial Statements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36700"/>
                <wp:effectExtent l="0" t="0" r="0" b="0"/>
                <wp:wrapNone/>
                <wp:docPr id="36" name="Frame36"/>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 - FINANCIAL INFORMATION (CONT’D.)</w:t>
      </w:r>
    </w:p>
    <w:p>
      <w:pPr>
        <w:pStyle w:val="TextBody"/>
        <w:bidi w:val="0"/>
        <w:spacing w:before="160" w:after="283"/>
        <w:jc w:val="center"/>
        <w:rPr/>
      </w:pPr>
      <w:r>
        <w:rPr/>
      </w:r>
    </w:p>
    <w:p>
      <w:pPr>
        <w:pStyle w:val="TextBody"/>
        <w:bidi w:val="0"/>
        <w:spacing w:lineRule="auto" w:line="288" w:before="320" w:after="16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Commodity Price Risk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The market for our products and services is indirectly exposed to fluctuations in the prices of oil and natural gas to the extent such fluctuations impact drilling and completion activity levels and thus impact the activity levels of our customers in the E&amp;P industry. We do not believe that we are particularly exposed to short-term fluctuations. We do not currently intend to hedge our indirect exposure to commodity price risk.</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Foreign Currency Exchange Rate Risk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 portion of our revenue is derived internationally and, accordingly, our competitiveness and financial results may be impacted by foreign currency fluctuations where revenues and costs are denominated in local currencies rather than U.S. dollars. For the three and six months ended June 30, 2026, $103.4 million of our revenues, or 61%, and $201.5 million, or 59%, respectively, were denominated in foreign currencies. We hedge currency risk in relevant projects using forward contracts.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use a sensitivity analysis model to measure the potential impact on our revenues. A 10% strengthening or weakening of foreign currency exchange rates against the U.S. dollar during the three and six months ended June 30, 2026 would have resulted in an increase or decrease in revenues of approximately $10 million and $20 million, respectively. There can be no assurance that the exchange rate change projected above will materialize as fluctuations in exchange rates are beyond our control.</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Interest Rate Risk</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are primarily exposed to interest rate risk through the Revolver. As of June 30, 2026, we had no aggregate principal amount outstanding under the Revolver, which bore interest at the compounded SOFR plus an applicable margin. We do not currently intend to hedge our exposure to interest rate risk. As of June 30, 2026, the impact of a 1% increase or decrease in interest rates on the Revolver would have no impact on interest expense.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As of June 30, 2026, we had $200.0 million aggregate fixed rate principal amount outstanding under the 7.875% Senior Secured Bonds due 2028. Any changes in interest rates do not impact our future cash outflows associated with these fixed-rate interest payments or settlement of debt principal, unless a debt instrument is repurchased prior to maturity.</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 xml:space="preserve">Credit Risk </w:t>
      </w:r>
    </w:p>
    <w:p>
      <w:pPr>
        <w:pStyle w:val="TextBody"/>
        <w:bidi w:val="0"/>
        <w:spacing w:lineRule="auto" w:line="288" w:before="160" w:after="320"/>
        <w:jc w:val="both"/>
        <w:rPr>
          <w:rFonts w:ascii="Times New Roman;serif" w:hAnsi="Times New Roman;serif"/>
          <w:b w:val="false"/>
          <w:color w:val="000000"/>
          <w:sz w:val="18"/>
        </w:rPr>
      </w:pPr>
      <w:r>
        <w:rPr>
          <w:rFonts w:ascii="Times New Roman;serif" w:hAnsi="Times New Roman;serif"/>
          <w:b w:val="false"/>
          <w:color w:val="000000"/>
          <w:sz w:val="18"/>
        </w:rPr>
        <w:t>Our customers are predominantly drilling contractors and drilling rig manufacturers, drilling rig owners and drilling rig operators in all segments, such as offshore and onshore oil and gas companies and production shipyards. Changes in economic, regulatory or other conditions may increase our overall credit risk from counterparties. We manage credit risk by analyzing the counterparties’ financial condition prior to accepting new customers and prior to adjusting existing credit limits.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that evaluation, our Chief Executive Officer and Chief Financial Officer concluded that our disclosure controls and procedures were effective at the reasonable assurance level as of June 30, 2026.</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identified in management’s evaluation pursuant to Rules 13a-15(d) or 15d-15(d) of the Exchange Act during the quarter ended June 30, 2026 that materially affected, or are reasonably likely to materially affect, our internal control over financial reporting.</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We will not be required to make our first assessment of the effectiveness of our internal control over financial reporting under Section 404 of the Sarbanes-Oxley Act until our Annual Report on Form 10-K for the fiscal year ended December 31, 2027. Further, our independent registered public accounting firm is not yet required to formally attest to the effectiveness of our internal controls over financial reporting and will not be required to do so for as long as we are an “emerging growth company” pursuant to the provisions of the Jumpstart Our Business Startups Act of 2012. </w:t>
      </w:r>
    </w:p>
    <w:p>
      <w:pPr>
        <w:pStyle w:val="TextBody"/>
        <w:bidi w:val="0"/>
        <w:spacing w:before="0" w:after="160"/>
        <w:jc w:val="left"/>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36700"/>
                <wp:effectExtent l="0" t="0" r="0" b="0"/>
                <wp:wrapNone/>
                <wp:docPr id="37" name="Frame37"/>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PART II - OTHER INFORMATION</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jc w:val="both"/>
        <w:rPr/>
      </w:pPr>
      <w:r>
        <w:rPr>
          <w:rFonts w:ascii="Times New Roman;serif" w:hAnsi="Times New Roman;serif"/>
          <w:b w:val="false"/>
          <w:color w:val="000000"/>
          <w:sz w:val="18"/>
        </w:rPr>
        <w:t xml:space="preserve">Information with respect to this Item may be found in </w:t>
      </w:r>
      <w:r>
        <w:rPr>
          <w:rFonts w:ascii="Times New Roman;serif" w:hAnsi="Times New Roman;serif"/>
          <w:b w:val="false"/>
          <w:i/>
          <w:color w:val="000000"/>
          <w:sz w:val="18"/>
        </w:rPr>
        <w:t>Note 16—“Commitments and Contingencies”</w:t>
      </w:r>
      <w:r>
        <w:rPr>
          <w:color w:val="000000"/>
        </w:rPr>
        <w:t xml:space="preserve"> </w:t>
      </w:r>
      <w:r>
        <w:rPr>
          <w:rFonts w:ascii="Times New Roman;serif" w:hAnsi="Times New Roman;serif"/>
          <w:b w:val="false"/>
          <w:color w:val="000000"/>
          <w:sz w:val="18"/>
        </w:rPr>
        <w:t xml:space="preserve">in the notes to the </w:t>
      </w:r>
      <w:r>
        <w:rPr>
          <w:rFonts w:ascii="Times New Roman;serif" w:hAnsi="Times New Roman;serif"/>
          <w:b w:val="false"/>
          <w:i/>
          <w:color w:val="000000"/>
          <w:sz w:val="18"/>
        </w:rPr>
        <w:t>Condensed Consolidated Financial Statements</w:t>
      </w:r>
      <w:r>
        <w:rPr>
          <w:color w:val="000000"/>
        </w:rPr>
        <w:t xml:space="preserve"> </w:t>
      </w:r>
      <w:r>
        <w:rPr>
          <w:rFonts w:ascii="Times New Roman;serif" w:hAnsi="Times New Roman;serif"/>
          <w:b w:val="false"/>
          <w:color w:val="000000"/>
          <w:sz w:val="18"/>
        </w:rPr>
        <w:t>in this Quarterly Report on Form 10-Q,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to the risk factors previously disclosed in the section entitled “Risk Factors” in the Final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On March 31, 2026, our registration statement on Form S-1, as amended (File No. 333-281497), was declared effective in connection with our IPO. On April 2, 2026, we completed our IPO of 10,520,000 shares of our Class A common stock at a price to the public of $20.00 per share. These sales of our Class A common stock resulted in net proceeds of $197.8 million, after deducting the underwriters’ discounts and offering fees of $12.6 million. </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used $39.5 million of the net proceeds we received from the IPO as the cash consideration to purchase an aggregate of 2,100,000 B.V. Voting Class A Shares and 2,100,000 B.V. Voting Class B Shares from Baker Hughes and Akastor, the Principal Stockholders. We contributed all of the remaining net proceeds from the IPO to HMH B.V. in exchange for a number of B.V. Voting Class A Shares and B.V. Voting Class B Shares such that the number of B.V. Voting Class A Shares and B.V. Voting Class B Shares, respectively, held by us equals the number of shares of our Class A common stock sold in the IPO. HMH B.V. used an aggregate of $137.1 million of the net proceeds received by it, comprised of $110.0 million to be paid to Baker Hughes and $27.1 million to be paid to Akastor, to repay all of the outstanding principal and accrued and unpaid interest under the Shareholder Loan Agreement, and the remaining net proceeds of $21.2 million received by HMH B.V. were used to fund HMH B.V.’s working capital.</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We also granted the IPO underwriters a 30-day over-allotment option to purchase up to 1,578,000 additional shares of Class A common stock on the same terms. On April 30, 2026, the underwriters partially exercised the option and, on May 5, 2026, purchased an additional 685,844 shares of the Company’s Class A common stock. The sales of our Class A common stock sold in connection with the exercise of the underwriters’ over-allotment option resulted in net proceeds of approximately $12.9 million, after deducting the underwriters’ discounts and offering fees of $0.8 million.</w:t>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contributed all of the net proceeds from the underwriters’ exercise of the over-allotment option to HMH B.V. in exchange for an additional 685,844 B.V. Voting Class A Shares and 685,844 B.V. Voting Class B Shares. HMH B.V. used such additional net proceeds to purchase in equal proportion from Baker Hughes and Akastor, respectively, an aggregate number of shares of the Class B common stock, par value $0.01 per share, non-voting Class A ordinary shares of HMH B.V. and non-voting Class B ordinary shares of HMH B.V. respectively, equal to the number of shares of Class A common stock purchased by the underwriters pursuant to the exercise of the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6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jc w:val="both"/>
        <w:rPr>
          <w:rFonts w:ascii="Times New Roman;serif" w:hAnsi="Times New Roman;serif"/>
          <w:b/>
          <w:i/>
          <w:color w:val="000000"/>
          <w:sz w:val="18"/>
        </w:rPr>
      </w:pPr>
      <w:r>
        <w:rPr>
          <w:rFonts w:ascii="Times New Roman;serif" w:hAnsi="Times New Roman;serif"/>
          <w:b/>
          <w:i/>
          <w:color w:val="000000"/>
          <w:sz w:val="18"/>
        </w:rPr>
        <w:t>Rule 10b5-1 and Non-Rule 10b5-1 Trading Arrangements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True-Up Awards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 May 5, 2026, the Company granted an aggregate of 186,085 restricted stock units, each representing a contingent right to receive one share of Class A common stock, to its employees under the 2026 Plan. Due to an administrative error in the calculation of equity awards granted on April 2, 2026, fewer restricted stock units were granted to employees than were approved by the Board to be granted on that date. The grants on May 5, 2026 represented true-up awards to align the numbers of restricted stock units granted with the amounts originally approved.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36700"/>
                <wp:effectExtent l="0" t="0" r="0" b="0"/>
                <wp:wrapNone/>
                <wp:docPr id="38" name="Frame38"/>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PART II - OTHER INFORMATION (CONT’D.)</w:t>
      </w:r>
    </w:p>
    <w:p>
      <w:pPr>
        <w:pStyle w:val="TextBody"/>
        <w:bidi w:val="0"/>
        <w:spacing w:before="1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728"/>
        <w:gridCol w:w="2609"/>
        <w:gridCol w:w="373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Exhibit</w:t>
            </w:r>
          </w:p>
          <w:p>
            <w:pPr>
              <w:pStyle w:val="TableContents"/>
              <w:bidi w:val="0"/>
              <w:spacing w:lineRule="auto" w:line="26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Times New Roman;serif" w:hAnsi="Times New Roman;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Amended and Restated Certificate of Incorporation of HMH Holding Inc., dated April 2, 2026 (incorporated herein by reference to Exhibit 3.1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Times New Roman;serif" w:hAnsi="Times New Roman;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Amended and Restated Bylaws of HMH Holding Inc., dated April 2, 2026 (incorporated herein by reference to Exhibit 3.2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Times New Roman;serif" w:hAnsi="Times New Roman;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Registration Rights Agreement, dated as of April 2, 2026, by and among HMH Holding Inc. and the signatories thereto (incorporated herein by reference to Exhibit 4.1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rFonts w:ascii="Times New Roman;serif" w:hAnsi="Times New Roman;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Stockholders’ Agreement, dated April 2, 2026, by and among HMH Holding Inc., Baker Hughes Holdings LLC, Akastor AS and Mercury HoldCo Inc. (incorporated herein by reference to Exhibit 4.2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1">
              <w:r>
                <w:rPr>
                  <w:rStyle w:val="InternetLink"/>
                  <w:rFonts w:ascii="Times New Roman;serif" w:hAnsi="Times New Roman;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18"/>
                  <w:u w:val="single"/>
                </w:rPr>
                <w:t>Tax Receivable Agreement, dated April 2, 2026, by and among HMH Holding Inc., HMH Holding B.V., Baker Hughes Holdings LLC, Akastor AS, Mercury HoldCo AS and Mercury HoldCo Inc. (incorporated herein by reference to Exhibit 10.1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3">
              <w:r>
                <w:rPr>
                  <w:rStyle w:val="InternetLink"/>
                  <w:rFonts w:ascii="Times New Roman;serif" w:hAnsi="Times New Roman;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18"/>
                  <w:u w:val="single"/>
                </w:rPr>
                <w:t>Exchange Agreement, dated April 2, 2026, by and among HMH Holding Inc., HMH Holding B.V., Baker Hughes Holdings LLC, Akastor AS, Mercury HoldCo AS and Mercury HoldCo Inc. (incorporated herein by reference to Exhibit 10.2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5">
              <w:r>
                <w:rPr>
                  <w:rStyle w:val="InternetLink"/>
                  <w:rFonts w:ascii="Times New Roman;serif" w:hAnsi="Times New Roman;serif"/>
                  <w:b w:val="false"/>
                  <w:color w:val="0000FF"/>
                  <w:sz w:val="18"/>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18"/>
                  <w:u w:val="single"/>
                </w:rPr>
                <w:t>Partnership Agreement of HMH Holding B.V., dated April 2, 2026, by and among HMH Holding B.V., HMH Holding Inc., Baker Hughes Holdings LLC, Akastor AS and Mercury HoldCo Inc. (incorporated herein by reference to Exhibit 10.3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1</w:t>
            </w:r>
            <w:hyperlink r:id="rId17">
              <w:r>
                <w:rPr>
                  <w:rStyle w:val="InternetLink"/>
                  <w:rFonts w:ascii="Times New Roman;serif" w:hAnsi="Times New Roman;serif"/>
                  <w:b w:val="false"/>
                  <w:color w:val="0000FF"/>
                  <w:sz w:val="18"/>
                  <w:u w:val="single"/>
                </w:rPr>
                <w:t>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18"/>
                  <w:u w:val="single"/>
                </w:rPr>
                <w:t>Form of Director and Officer Indemnification Agreement, dated as of April 2, 2026, by and between HMH Holding Inc. and such Director or Officer party thereto (incorporated herein by reference to Exhibit 10.4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19">
              <w:r>
                <w:rPr>
                  <w:rStyle w:val="InternetLink"/>
                  <w:rFonts w:ascii="Times New Roman;serif" w:hAnsi="Times New Roman;serif"/>
                  <w:b w:val="false"/>
                  <w:color w:val="0000FF"/>
                  <w:sz w:val="18"/>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18"/>
                  <w:u w:val="single"/>
                </w:rPr>
                <w:t>HMH Holding Inc. 2026 Long-Term Incentive Plan (incorporated herein by reference to Exhibit 10.5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1">
              <w:r>
                <w:rPr>
                  <w:rStyle w:val="InternetLink"/>
                  <w:rFonts w:ascii="Times New Roman;serif" w:hAnsi="Times New Roman;serif"/>
                  <w:b w:val="false"/>
                  <w:color w:val="0000FF"/>
                  <w:sz w:val="18"/>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18"/>
                  <w:u w:val="single"/>
                </w:rPr>
                <w:t>Form of Award Agreement replacing founders’ phantom equity award (incorporated herein by reference to Exhibit 10.6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1</w:t>
            </w:r>
            <w:hyperlink r:id="rId23">
              <w:r>
                <w:rPr>
                  <w:rStyle w:val="InternetLink"/>
                  <w:rFonts w:ascii="Times New Roman;serif" w:hAnsi="Times New Roman;serif"/>
                  <w:b w:val="false"/>
                  <w:color w:val="0000FF"/>
                  <w:sz w:val="18"/>
                  <w:u w:val="single"/>
                </w:rPr>
                <w:t>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18"/>
                  <w:u w:val="single"/>
                </w:rPr>
                <w:t>Form of Award Agreement replacing 2022 long-term incentive award (incorporated herein by reference to Exhibit 10.7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5">
              <w:r>
                <w:rPr>
                  <w:rStyle w:val="InternetLink"/>
                  <w:rFonts w:ascii="Times New Roman;serif" w:hAnsi="Times New Roman;serif"/>
                  <w:b w:val="false"/>
                  <w:color w:val="0000FF"/>
                  <w:sz w:val="18"/>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18"/>
                  <w:u w:val="single"/>
                </w:rPr>
                <w:t>Form of Award Agreement replacing 2023 long-term incentive award (incorporated herein by reference to Exhibit 10.8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7">
              <w:r>
                <w:rPr>
                  <w:rStyle w:val="InternetLink"/>
                  <w:rFonts w:ascii="Times New Roman;serif" w:hAnsi="Times New Roman;serif"/>
                  <w:b w:val="false"/>
                  <w:color w:val="0000FF"/>
                  <w:sz w:val="18"/>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18"/>
                  <w:u w:val="single"/>
                </w:rPr>
                <w:t>Form of Award Agreement replacing 2024 long-term incentive award (incorporated herein by reference to Exhibit 10.9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29">
              <w:r>
                <w:rPr>
                  <w:rStyle w:val="InternetLink"/>
                  <w:rFonts w:ascii="Times New Roman;serif" w:hAnsi="Times New Roman;serif"/>
                  <w:b w:val="false"/>
                  <w:color w:val="0000FF"/>
                  <w:sz w:val="18"/>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18"/>
                  <w:u w:val="single"/>
                </w:rPr>
                <w:t>Form of Award Agreement replacing 2025 long-term incentive award (incorporated herein by reference to Exhibit 10.10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1">
              <w:r>
                <w:rPr>
                  <w:rStyle w:val="InternetLink"/>
                  <w:rFonts w:ascii="Times New Roman;serif" w:hAnsi="Times New Roman;serif"/>
                  <w:b w:val="false"/>
                  <w:color w:val="0000FF"/>
                  <w:sz w:val="18"/>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18"/>
                  <w:u w:val="single"/>
                </w:rPr>
                <w:t>Form of Award Agreement replacing 2023 long-term incentive award for former employees (incorporated herein by reference to Exhibit 10.11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3">
              <w:r>
                <w:rPr>
                  <w:rStyle w:val="InternetLink"/>
                  <w:rFonts w:ascii="Times New Roman;serif" w:hAnsi="Times New Roman;serif"/>
                  <w:b w:val="false"/>
                  <w:color w:val="0000FF"/>
                  <w:sz w:val="18"/>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18"/>
                  <w:u w:val="single"/>
                </w:rPr>
                <w:t>Form of Award Agreement replacing 2024 special recognition long-term incentive award (incorporated herein by reference to Exhibit 10.12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5">
              <w:r>
                <w:rPr>
                  <w:rStyle w:val="InternetLink"/>
                  <w:rFonts w:ascii="Times New Roman;serif" w:hAnsi="Times New Roman;serif"/>
                  <w:b w:val="false"/>
                  <w:color w:val="0000FF"/>
                  <w:sz w:val="18"/>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18"/>
                  <w:u w:val="single"/>
                </w:rPr>
                <w:t>Form of Non-Employee Director Restricted Stock Unit Award Agreement (incorporated herein by reference to Exhibit 10.13 to HMH Holding Inc.’s Current Report on Form 8-K filed with the SEC on April 2,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r:id="rId37">
              <w:r>
                <w:rPr>
                  <w:rStyle w:val="InternetLink"/>
                  <w:rFonts w:ascii="Times New Roman;serif" w:hAnsi="Times New Roman;serif"/>
                  <w:b w:val="false"/>
                  <w:color w:val="000080"/>
                  <w:sz w:val="18"/>
                  <w:u w:val="single"/>
                </w:rPr>
                <w:t>10.1</w:t>
              </w:r>
            </w:hyperlink>
            <w:hyperlink r:id="rId38">
              <w:r>
                <w:rPr>
                  <w:rStyle w:val="InternetLink"/>
                  <w:rFonts w:ascii="Times New Roman;serif" w:hAnsi="Times New Roman;serif"/>
                  <w:b w:val="false"/>
                  <w:color w:val="000080"/>
                  <w:sz w:val="18"/>
                  <w:u w:val="single"/>
                </w:rPr>
                <w:t>4</w:t>
              </w:r>
            </w:hyperlink>
            <w:hyperlink r:id="rId39">
              <w:r>
                <w:rPr>
                  <w:rStyle w:val="InternetLink"/>
                  <w:rFonts w:ascii="Times New Roman;serif" w:hAnsi="Times New Roman;serif"/>
                  <w:b w:val="false"/>
                  <w:color w:val="000080"/>
                  <w:sz w:val="18"/>
                  <w:u w:val="single"/>
                </w:rPr>
                <w:t>†</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80"/>
                  <w:sz w:val="18"/>
                  <w:u w:val="single"/>
                </w:rPr>
                <w:t>Form of 2026 Restricted Stock Unit</w:t>
              </w:r>
            </w:hyperlink>
            <w:hyperlink r:id="rId41">
              <w:r>
                <w:rPr>
                  <w:rStyle w:val="InternetLink"/>
                  <w:rFonts w:ascii="Times New Roman;serif" w:hAnsi="Times New Roman;serif"/>
                  <w:b w:val="false"/>
                  <w:color w:val="000080"/>
                  <w:sz w:val="18"/>
                  <w:u w:val="single"/>
                </w:rPr>
                <w:t xml:space="preserve"> Award</w:t>
              </w:r>
            </w:hyperlink>
            <w:hyperlink r:id="rId42">
              <w:r>
                <w:rPr>
                  <w:rStyle w:val="InternetLink"/>
                  <w:rFonts w:ascii="Times New Roman;serif" w:hAnsi="Times New Roman;serif"/>
                  <w:b w:val="false"/>
                  <w:color w:val="000080"/>
                  <w:sz w:val="18"/>
                  <w:u w:val="single"/>
                </w:rPr>
                <w:t xml:space="preserve"> Agreement.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q22026exhibit311.htm">
              <w:r>
                <w:rPr>
                  <w:rStyle w:val="InternetLink"/>
                  <w:rFonts w:ascii="Times New Roman;serif" w:hAnsi="Times New Roman;serif"/>
                  <w:b w:val="false"/>
                  <w:color w:val="000080"/>
                  <w:sz w:val="18"/>
                  <w:u w:val="single"/>
                </w:rPr>
                <w:t>31.1</w:t>
              </w:r>
            </w:hyperlink>
            <w:hyperlink w:anchor="q22026exhibit311.htm">
              <w:r>
                <w:rPr>
                  <w:rStyle w:val="InternetLink"/>
                  <w:rFonts w:ascii="Times New Roman;serif" w:hAnsi="Times New Roman;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exhibit311.htm">
              <w:r>
                <w:rPr>
                  <w:rStyle w:val="InternetLink"/>
                  <w:rFonts w:ascii="Times New Roman;serif" w:hAnsi="Times New Roman;serif"/>
                  <w:b w:val="false"/>
                  <w:color w:val="0000FF"/>
                  <w:sz w:val="18"/>
                  <w:u w:val="single"/>
                </w:rPr>
                <w:t>Certification of Chief Executive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q22026exhibit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exhibit312.htm">
              <w:r>
                <w:rPr>
                  <w:rStyle w:val="InternetLink"/>
                  <w:rFonts w:ascii="Times New Roman;serif" w:hAnsi="Times New Roman;serif"/>
                  <w:b w:val="false"/>
                  <w:color w:val="0000FF"/>
                  <w:sz w:val="18"/>
                  <w:u w:val="single"/>
                </w:rPr>
                <w:t>Certification of Chief Financial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q22026exhibit321.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exhibit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q22026exhibit322.htm">
              <w:r>
                <w:rPr>
                  <w:rStyle w:val="InternetLink"/>
                  <w:rFonts w:ascii="Times New Roman;serif" w:hAnsi="Times New Roman;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2026exhibit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36700"/>
                <wp:effectExtent l="0" t="0" r="0" b="0"/>
                <wp:wrapNone/>
                <wp:docPr id="39" name="Frame39"/>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PART II - OTHER INFORMATION (CONT’D.)</w:t>
      </w:r>
    </w:p>
    <w:p>
      <w:pPr>
        <w:pStyle w:val="TextBody"/>
        <w:bidi w:val="0"/>
        <w:spacing w:before="160" w:after="283"/>
        <w:jc w:val="center"/>
        <w:rPr/>
      </w:pPr>
      <w:r>
        <w:rPr/>
      </w:r>
    </w:p>
    <w:tbl>
      <w:tblPr>
        <w:tblW w:w="9086" w:type="dxa"/>
        <w:jc w:val="left"/>
        <w:tblInd w:w="0" w:type="dxa"/>
        <w:tblLayout w:type="fixed"/>
        <w:tblCellMar>
          <w:top w:w="28" w:type="dxa"/>
          <w:left w:w="28" w:type="dxa"/>
          <w:bottom w:w="28" w:type="dxa"/>
          <w:right w:w="28" w:type="dxa"/>
        </w:tblCellMar>
      </w:tblPr>
      <w:tblGrid>
        <w:gridCol w:w="336"/>
        <w:gridCol w:w="295"/>
        <w:gridCol w:w="299"/>
        <w:gridCol w:w="109"/>
        <w:gridCol w:w="109"/>
        <w:gridCol w:w="109"/>
        <w:gridCol w:w="2293"/>
        <w:gridCol w:w="2293"/>
        <w:gridCol w:w="3243"/>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9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 and included in Exhibit 101).</w:t>
            </w:r>
          </w:p>
        </w:tc>
      </w:tr>
    </w:tbl>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    Filed herewith.</w:t>
      </w:r>
    </w:p>
    <w:p>
      <w:pPr>
        <w:pStyle w:val="TextBody"/>
        <w:bidi w:val="0"/>
        <w:spacing w:lineRule="auto" w:line="28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     Furnished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i/>
          <w:color w:val="000000"/>
          <w:sz w:val="18"/>
        </w:rPr>
        <w:t>Management contract or compensatory plan or arrangement.</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36700"/>
                <wp:effectExtent l="0" t="0" r="0" b="0"/>
                <wp:wrapNone/>
                <wp:docPr id="40" name="Frame40"/>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320"/>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the registrant has duly caused this report to be signed on its behalf by the undersigned, thereunto duly authorized. </w:t>
      </w:r>
    </w:p>
    <w:tbl>
      <w:tblPr>
        <w:tblW w:w="6634" w:type="dxa"/>
        <w:jc w:val="left"/>
        <w:tblInd w:w="0" w:type="dxa"/>
        <w:tblLayout w:type="fixed"/>
        <w:tblCellMar>
          <w:top w:w="28" w:type="dxa"/>
          <w:left w:w="28" w:type="dxa"/>
          <w:bottom w:w="28" w:type="dxa"/>
          <w:right w:w="28" w:type="dxa"/>
        </w:tblCellMar>
      </w:tblPr>
      <w:tblGrid>
        <w:gridCol w:w="595"/>
        <w:gridCol w:w="525"/>
        <w:gridCol w:w="529"/>
        <w:gridCol w:w="247"/>
        <w:gridCol w:w="247"/>
        <w:gridCol w:w="247"/>
        <w:gridCol w:w="1234"/>
        <w:gridCol w:w="1234"/>
        <w:gridCol w:w="1776"/>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HMH Holding Inc.</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Thomas W. McGee</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Thomas W. McGee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 and Duly Authorized Officer)</w:t>
            </w:r>
          </w:p>
        </w:tc>
      </w:tr>
    </w:tbl>
    <w:p>
      <w:pPr>
        <w:pStyle w:val="TextBody"/>
        <w:bidi w:val="0"/>
        <w:spacing w:before="8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36700"/>
                <wp:effectExtent l="0" t="0" r="0" b="0"/>
                <wp:wrapNone/>
                <wp:docPr id="41" name="Frame41"/>
                <a:graphic xmlns:a="http://schemas.openxmlformats.org/drawingml/2006/main">
                  <a:graphicData uri="http://schemas.microsoft.com/office/word/2010/wordprocessingShape">
                    <wps:wsp>
                      <wps:cNvSpPr txBox="1"/>
                      <wps:spPr>
                        <a:xfrm>
                          <a:off x="0" y="0"/>
                          <a:ext cx="6480175" cy="1536700"/>
                        </a:xfrm>
                        <a:prstGeom prst="rect"/>
                        <a:solidFill>
                          <a:srgbClr val="FFFFFF"/>
                        </a:solidFill>
                      </wps:spPr>
                      <wps:txb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0" w:after="1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Eirik Bergsvik, certify that: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for the quarter ended June 30, 2026, of HMH Holding Inc.;</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160" w:after="160"/>
        <w:jc w:val="both"/>
        <w:rPr/>
      </w:pPr>
      <w:r>
        <w:rPr/>
      </w:r>
    </w:p>
    <w:p>
      <w:pPr>
        <w:pStyle w:val="TextBody"/>
        <w:bidi w:val="0"/>
        <w:spacing w:before="160" w:after="160"/>
        <w:jc w:val="both"/>
        <w:rPr/>
      </w:pPr>
      <w:r>
        <w:rPr/>
      </w:r>
    </w:p>
    <w:tbl>
      <w:tblPr>
        <w:tblW w:w="4492"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20"/>
        <w:gridCol w:w="120"/>
        <w:gridCol w:w="120"/>
        <w:gridCol w:w="109"/>
        <w:gridCol w:w="109"/>
        <w:gridCol w:w="109"/>
        <w:gridCol w:w="535"/>
        <w:gridCol w:w="535"/>
        <w:gridCol w:w="759"/>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Eirik Bergsvik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Eirik Bergsvik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Thomas W. McGee, certify that: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for the quarter ended June 30, 2026, of HMH Holding Inc.;</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160" w:after="160"/>
        <w:jc w:val="both"/>
        <w:rPr/>
      </w:pPr>
      <w:r>
        <w:rPr/>
      </w:r>
    </w:p>
    <w:p>
      <w:pPr>
        <w:pStyle w:val="TextBody"/>
        <w:bidi w:val="0"/>
        <w:spacing w:before="160" w:after="160"/>
        <w:jc w:val="both"/>
        <w:rPr/>
      </w:pPr>
      <w:r>
        <w:rPr/>
      </w:r>
    </w:p>
    <w:tbl>
      <w:tblPr>
        <w:tblW w:w="4448"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20"/>
        <w:gridCol w:w="120"/>
        <w:gridCol w:w="120"/>
        <w:gridCol w:w="109"/>
        <w:gridCol w:w="109"/>
        <w:gridCol w:w="109"/>
        <w:gridCol w:w="523"/>
        <w:gridCol w:w="523"/>
        <w:gridCol w:w="739"/>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Thomas W. McGee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W. McGee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spacing w:before="16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CHIEF EXECUTIVE OFFICER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SECTION 906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SARBANES-OXLEY ACT OF 2002 </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Quarterly Report on Form 10-Q of HMH Holding Inc. (the “Company”) for the quarterly period ended June 30, 2026 (the “Report”) as filed with the Securities and Exchange Commission on the date hereof. I, Eirik Bergsvik, Chief Executive Officer of the Company, certify, pursuant to 18 U.S.C. § 1350, as adopted pursuant to § 906 of the Sarbanes-Oxley Act of 2002, to the best of my knowledge, that: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as amended;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Corporation.</w:t>
      </w:r>
    </w:p>
    <w:p>
      <w:pPr>
        <w:pStyle w:val="TextBody"/>
        <w:bidi w:val="0"/>
        <w:spacing w:before="0" w:after="0"/>
        <w:jc w:val="left"/>
        <w:rPr/>
      </w:pPr>
      <w:r>
        <w:rPr/>
      </w:r>
    </w:p>
    <w:p>
      <w:pPr>
        <w:pStyle w:val="TextBody"/>
        <w:bidi w:val="0"/>
        <w:spacing w:before="160" w:after="160"/>
        <w:jc w:val="both"/>
        <w:rPr/>
      </w:pPr>
      <w:r>
        <w:rPr/>
      </w:r>
    </w:p>
    <w:p>
      <w:pPr>
        <w:pStyle w:val="TextBody"/>
        <w:bidi w:val="0"/>
        <w:spacing w:before="160" w:after="160"/>
        <w:jc w:val="both"/>
        <w:rPr/>
      </w:pPr>
      <w:r>
        <w:rPr/>
      </w:r>
    </w:p>
    <w:tbl>
      <w:tblPr>
        <w:tblW w:w="4492"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20"/>
        <w:gridCol w:w="120"/>
        <w:gridCol w:w="120"/>
        <w:gridCol w:w="109"/>
        <w:gridCol w:w="109"/>
        <w:gridCol w:w="109"/>
        <w:gridCol w:w="535"/>
        <w:gridCol w:w="535"/>
        <w:gridCol w:w="759"/>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Eirik Bergsvik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Eirik Bergsvik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spacing w:before="160" w:after="16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CHIEF FINANCIAL OFFICER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SECTION 906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SARBANES-OXLEY ACT OF 2002 </w:t>
      </w:r>
    </w:p>
    <w:p>
      <w:pPr>
        <w:pStyle w:val="TextBody"/>
        <w:bidi w:val="0"/>
        <w:spacing w:before="0" w:after="0"/>
        <w:jc w:val="center"/>
        <w:rPr/>
      </w:pPr>
      <w:r>
        <w:rPr/>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Quarterly Report on Form 10-Q of HMH Holding Inc. (the “Company”) for the quarterly period ended June 30, 2026 (the “Report”) as filed with the Securities and Exchange Commission on the date hereof. I, Thomas W. McGee, Chief Financial Officer of the Company, certify, pursuant to 18 U.S.C. § 1350, as adopted pursuant to § 906 of the Sarbanes-Oxley Act of 2002, to the best of my knowledge, that: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as amended; and</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Corporation.</w:t>
      </w:r>
    </w:p>
    <w:p>
      <w:pPr>
        <w:pStyle w:val="TextBody"/>
        <w:bidi w:val="0"/>
        <w:spacing w:before="0" w:after="0"/>
        <w:jc w:val="left"/>
        <w:rPr/>
      </w:pPr>
      <w:r>
        <w:rPr/>
      </w:r>
    </w:p>
    <w:p>
      <w:pPr>
        <w:pStyle w:val="TextBody"/>
        <w:bidi w:val="0"/>
        <w:spacing w:before="160" w:after="160"/>
        <w:jc w:val="both"/>
        <w:rPr/>
      </w:pPr>
      <w:r>
        <w:rPr/>
      </w:r>
    </w:p>
    <w:tbl>
      <w:tblPr>
        <w:tblW w:w="4448" w:type="dxa"/>
        <w:jc w:val="left"/>
        <w:tblInd w:w="0" w:type="dxa"/>
        <w:tblLayout w:type="fixed"/>
        <w:tblCellMar>
          <w:top w:w="28" w:type="dxa"/>
          <w:left w:w="28" w:type="dxa"/>
          <w:bottom w:w="28" w:type="dxa"/>
          <w:right w:w="28" w:type="dxa"/>
        </w:tblCellMar>
      </w:tblPr>
      <w:tblGrid>
        <w:gridCol w:w="595"/>
        <w:gridCol w:w="525"/>
        <w:gridCol w:w="529"/>
        <w:gridCol w:w="109"/>
        <w:gridCol w:w="109"/>
        <w:gridCol w:w="109"/>
        <w:gridCol w:w="120"/>
        <w:gridCol w:w="120"/>
        <w:gridCol w:w="120"/>
        <w:gridCol w:w="109"/>
        <w:gridCol w:w="109"/>
        <w:gridCol w:w="109"/>
        <w:gridCol w:w="523"/>
        <w:gridCol w:w="523"/>
        <w:gridCol w:w="739"/>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Thomas W. McGee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W. McGee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HMH Holding Inc.</w:t>
            </w:r>
          </w:p>
        </w:tc>
      </w:tr>
    </w:tbl>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1880/000119312526138102/d75409d424b4.htm" TargetMode="External"/><Relationship Id="rId3" Type="http://schemas.openxmlformats.org/officeDocument/2006/relationships/hyperlink" Target="https://www.sec.gov/Archives/edgar/data/2021880/000119312526140110/d100419d8k.htm" TargetMode="External"/><Relationship Id="rId4" Type="http://schemas.openxmlformats.org/officeDocument/2006/relationships/hyperlink" Target="https://www.sec.gov/Archives/edgar/data/2021880/000119312526140110/d100419d8k.htm" TargetMode="External"/><Relationship Id="rId5" Type="http://schemas.openxmlformats.org/officeDocument/2006/relationships/hyperlink" Target="https://www.sec.gov/Archives/edgar/data/2021880/000119312526140110/d100419d8k.htm" TargetMode="External"/><Relationship Id="rId6" Type="http://schemas.openxmlformats.org/officeDocument/2006/relationships/hyperlink" Target="https://www.sec.gov/Archives/edgar/data/2021880/000119312526140110/d100419d8k.htm" TargetMode="External"/><Relationship Id="rId7" Type="http://schemas.openxmlformats.org/officeDocument/2006/relationships/hyperlink" Target="https://www.sec.gov/Archives/edgar/data/2021880/000119312526140110/d100419d8k.htm" TargetMode="External"/><Relationship Id="rId8" Type="http://schemas.openxmlformats.org/officeDocument/2006/relationships/hyperlink" Target="https://www.sec.gov/Archives/edgar/data/2021880/000119312526140110/d100419d8k.htm" TargetMode="External"/><Relationship Id="rId9" Type="http://schemas.openxmlformats.org/officeDocument/2006/relationships/hyperlink" Target="https://www.sec.gov/Archives/edgar/data/2021880/000119312526140110/d100419d8k.htm" TargetMode="External"/><Relationship Id="rId10" Type="http://schemas.openxmlformats.org/officeDocument/2006/relationships/hyperlink" Target="https://www.sec.gov/Archives/edgar/data/2021880/000119312526140110/d100419d8k.htm" TargetMode="External"/><Relationship Id="rId11" Type="http://schemas.openxmlformats.org/officeDocument/2006/relationships/hyperlink" Target="https://www.sec.gov/Archives/edgar/data/2021880/000119312526140110/d100419d8k.htm" TargetMode="External"/><Relationship Id="rId12" Type="http://schemas.openxmlformats.org/officeDocument/2006/relationships/hyperlink" Target="https://www.sec.gov/Archives/edgar/data/2021880/000119312526140110/d100419d8k.htm" TargetMode="External"/><Relationship Id="rId13" Type="http://schemas.openxmlformats.org/officeDocument/2006/relationships/hyperlink" Target="https://www.sec.gov/Archives/edgar/data/2021880/000119312526140110/d100419d8k.htm" TargetMode="External"/><Relationship Id="rId14" Type="http://schemas.openxmlformats.org/officeDocument/2006/relationships/hyperlink" Target="https://www.sec.gov/Archives/edgar/data/2021880/000119312526140110/d100419d8k.htm" TargetMode="External"/><Relationship Id="rId15" Type="http://schemas.openxmlformats.org/officeDocument/2006/relationships/hyperlink" Target="https://www.sec.gov/Archives/edgar/data/2021880/000119312526140110/d100419d8k.htm" TargetMode="External"/><Relationship Id="rId16" Type="http://schemas.openxmlformats.org/officeDocument/2006/relationships/hyperlink" Target="https://www.sec.gov/Archives/edgar/data/2021880/000119312526140110/d100419d8k.htm" TargetMode="External"/><Relationship Id="rId17" Type="http://schemas.openxmlformats.org/officeDocument/2006/relationships/hyperlink" Target="https://www.sec.gov/Archives/edgar/data/2021880/000119312526140110/d100419d8k.htm" TargetMode="External"/><Relationship Id="rId18" Type="http://schemas.openxmlformats.org/officeDocument/2006/relationships/hyperlink" Target="https://www.sec.gov/Archives/edgar/data/2021880/000119312526140110/d100419d8k.htm" TargetMode="External"/><Relationship Id="rId19" Type="http://schemas.openxmlformats.org/officeDocument/2006/relationships/hyperlink" Target="https://www.sec.gov/Archives/edgar/data/2021880/000119312526140110/d100419d8k.htm" TargetMode="External"/><Relationship Id="rId20" Type="http://schemas.openxmlformats.org/officeDocument/2006/relationships/hyperlink" Target="https://www.sec.gov/Archives/edgar/data/2021880/000119312526140110/d100419d8k.htm" TargetMode="External"/><Relationship Id="rId21" Type="http://schemas.openxmlformats.org/officeDocument/2006/relationships/hyperlink" Target="https://www.sec.gov/Archives/edgar/data/2021880/000119312526140110/d100419d8k.htm" TargetMode="External"/><Relationship Id="rId22" Type="http://schemas.openxmlformats.org/officeDocument/2006/relationships/hyperlink" Target="https://www.sec.gov/Archives/edgar/data/2021880/000119312526140110/d100419d8k.htm" TargetMode="External"/><Relationship Id="rId23" Type="http://schemas.openxmlformats.org/officeDocument/2006/relationships/hyperlink" Target="https://www.sec.gov/Archives/edgar/data/2021880/000119312526140110/d100419d8k.htm" TargetMode="External"/><Relationship Id="rId24" Type="http://schemas.openxmlformats.org/officeDocument/2006/relationships/hyperlink" Target="https://www.sec.gov/Archives/edgar/data/2021880/000119312526140110/d100419d8k.htm" TargetMode="External"/><Relationship Id="rId25" Type="http://schemas.openxmlformats.org/officeDocument/2006/relationships/hyperlink" Target="https://www.sec.gov/Archives/edgar/data/2021880/000119312526140110/d100419d8k.htm" TargetMode="External"/><Relationship Id="rId26" Type="http://schemas.openxmlformats.org/officeDocument/2006/relationships/hyperlink" Target="https://www.sec.gov/Archives/edgar/data/2021880/000119312526140110/d100419d8k.htm" TargetMode="External"/><Relationship Id="rId27" Type="http://schemas.openxmlformats.org/officeDocument/2006/relationships/hyperlink" Target="https://www.sec.gov/Archives/edgar/data/2021880/000119312526140110/d100419d8k.htm" TargetMode="External"/><Relationship Id="rId28" Type="http://schemas.openxmlformats.org/officeDocument/2006/relationships/hyperlink" Target="https://www.sec.gov/Archives/edgar/data/2021880/000119312526140110/d100419d8k.htm" TargetMode="External"/><Relationship Id="rId29" Type="http://schemas.openxmlformats.org/officeDocument/2006/relationships/hyperlink" Target="https://www.sec.gov/Archives/edgar/data/2021880/000119312526140110/d100419d8k.htm" TargetMode="External"/><Relationship Id="rId30" Type="http://schemas.openxmlformats.org/officeDocument/2006/relationships/hyperlink" Target="https://www.sec.gov/Archives/edgar/data/2021880/000119312526140110/d100419d8k.htm" TargetMode="External"/><Relationship Id="rId31" Type="http://schemas.openxmlformats.org/officeDocument/2006/relationships/hyperlink" Target="https://www.sec.gov/Archives/edgar/data/2021880/000119312526140110/d100419d8k.htm" TargetMode="External"/><Relationship Id="rId32" Type="http://schemas.openxmlformats.org/officeDocument/2006/relationships/hyperlink" Target="https://www.sec.gov/Archives/edgar/data/2021880/000119312526140110/d100419d8k.htm" TargetMode="External"/><Relationship Id="rId33" Type="http://schemas.openxmlformats.org/officeDocument/2006/relationships/hyperlink" Target="https://www.sec.gov/Archives/edgar/data/2021880/000119312526140110/d100419d8k.htm" TargetMode="External"/><Relationship Id="rId34" Type="http://schemas.openxmlformats.org/officeDocument/2006/relationships/hyperlink" Target="https://www.sec.gov/Archives/edgar/data/2021880/000119312526140110/d100419d8k.htm" TargetMode="External"/><Relationship Id="rId35" Type="http://schemas.openxmlformats.org/officeDocument/2006/relationships/hyperlink" Target="https://www.sec.gov/Archives/edgar/data/2021880/000119312526140110/d100419d8k.htm" TargetMode="External"/><Relationship Id="rId36" Type="http://schemas.openxmlformats.org/officeDocument/2006/relationships/hyperlink" Target="https://www.sec.gov/Archives/edgar/data/2021880/000119312526140110/d100419d8k.htm" TargetMode="External"/><Relationship Id="rId37" Type="http://schemas.openxmlformats.org/officeDocument/2006/relationships/hyperlink" Target="https://www.sec.gov/Archives/edgar/data/2021880/000119312526140110/d100419d8k.htm" TargetMode="External"/><Relationship Id="rId38" Type="http://schemas.openxmlformats.org/officeDocument/2006/relationships/hyperlink" Target="https://www.sec.gov/Archives/edgar/data/2021880/000119312526140110/d100419d8k.htm" TargetMode="External"/><Relationship Id="rId39" Type="http://schemas.openxmlformats.org/officeDocument/2006/relationships/hyperlink" Target="https://www.sec.gov/Archives/edgar/data/2021880/000119312526140110/d100419d8k.htm" TargetMode="External"/><Relationship Id="rId40" Type="http://schemas.openxmlformats.org/officeDocument/2006/relationships/hyperlink" Target="https://www.sec.gov/Archives/edgar/data/2021880/000119312526140110/d100419dex105.htm" TargetMode="External"/><Relationship Id="rId41" Type="http://schemas.openxmlformats.org/officeDocument/2006/relationships/hyperlink" Target="https://www.sec.gov/Archives/edgar/data/2021880/000119312526140110/d100419dex105.htm" TargetMode="External"/><Relationship Id="rId42" Type="http://schemas.openxmlformats.org/officeDocument/2006/relationships/hyperlink" Target="https://www.sec.gov/Archives/edgar/data/2021880/000119312526140110/d100419dex105.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22853</Words>
  <Characters>126045</Characters>
  <CharactersWithSpaces>147435</CharactersWithSpaces>
  <Paragraphs>3428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