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RETTIG DWIGHT W</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Borders>
              <w:top w:val="single" w:sz="8" w:color="EEEEEE"/>
            </w:tcBorders>
            <w:vMerge w:val="restart"/>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05/18/2026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25"/>
        <w:spacing w:after="0"/>
        <w:rPr>
          <w:sz w:val="20"/>
          <w:szCs w:val="20"/>
          <w:color w:val="auto"/>
        </w:rPr>
      </w:pPr>
      <w:r>
        <w:rPr>
          <w:rFonts w:ascii="Times New Roman" w:cs="Times New Roman" w:eastAsia="Times New Roman" w:hAnsi="Times New Roman"/>
          <w:sz w:val="17"/>
          <w:szCs w:val="17"/>
          <w:color w:val="0000FF"/>
        </w:rPr>
        <w:t>Chf Admn Officer, GC, Corp Sec</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10"/>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39,779</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19.28</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77,694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24,116</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101,810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par value $0.01 per share ("Class A Common Stock"), of HMH Holding Inc. (the "Issuer") withheld to satisfy tax withholding obligations upon the vesting of restricted stock units. This net settlement was approved by the board of directors of the Issuer pursuant to Rule 16b-3 under the Securities Exchange Act of 1934, as amended.</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June 19, 2026. Each restricted stock unit represents a contingent right to receive one share of Class A Common Stock. The restricted stock units vest in three equal installments on September 19, 2027, June 19, 2028 and June 19, 2029.</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Dwight W. Rettig</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8420"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2026-06-23T17:43:17Z</dcterms:created>
  <dcterms:modified xsi:type="dcterms:W3CDTF">2026-06-23T17:43:17Z</dcterms:modified>
</cp:coreProperties>
</file>