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59367.xml.htm"/>
      <w:bookmarkStart w:id="1" w:name="kswkform4_17884593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CHAUVIERE E CHARLS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3300 NORTH SAM HOUSTON PARKWAY EAST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HMH Holding Inc</w:t>
              </w:r>
            </w:hyperlink>
            <w:r>
              <w:rPr/>
              <w:t xml:space="preserve"> [ </w:t>
            </w:r>
            <w:r>
              <w:rPr>
                <w:rFonts w:ascii="Times;serif" w:hAnsi="Times;serif"/>
                <w:color w:val="0000FF"/>
                <w:sz w:val="24"/>
                <w:shd w:fill="FFFFFF" w:val="clear"/>
              </w:rPr>
              <w:t>HMH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Operations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3,442</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19.26</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85,667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A common stock, par value $0.01 per share of the Issuer withheld to satisfy tax withholding obligations upon the vesting of restricted stock units. This net settlement was approved by the board of directors of the Issuer pursuant to Rule 16b-3 under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Dwight W. Rettig,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0953" TargetMode="External"/><Relationship Id="rId5" Type="http://schemas.openxmlformats.org/officeDocument/2006/relationships/hyperlink" Target="http://www.sec.gov/cgi-bin/browse-edgar?action=getcompany&amp;CIK=00020218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3371</Characters>
  <CharactersWithSpaces>3927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